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9EA8F" w14:textId="033ED67A" w:rsidR="00EA1C37" w:rsidRDefault="00EA1C37" w:rsidP="00EA1C37">
      <w:pPr>
        <w:jc w:val="both"/>
      </w:pPr>
      <w:r>
        <w:t xml:space="preserve">Elering algatas 21.02.2025 avaliku konsultatsiooni </w:t>
      </w:r>
      <w:r w:rsidRPr="000C280C">
        <w:t xml:space="preserve">Elering AS </w:t>
      </w:r>
      <w:r>
        <w:t>elektri põhivõrguga liitumise tüüptingimuste</w:t>
      </w:r>
      <w:r w:rsidR="008445FE">
        <w:t xml:space="preserve"> (edaspidi </w:t>
      </w:r>
      <w:r w:rsidR="00D041F9">
        <w:t>liitumistingimused)</w:t>
      </w:r>
      <w:r>
        <w:t xml:space="preserve"> ja selle lisa 2 (liitumislepingu tüüpvormi) muudatuste osas, paludes turuosalistel esitada omapoolse tagasiside 14.03.2025.</w:t>
      </w:r>
      <w:r w:rsidR="00C144D7">
        <w:t xml:space="preserve"> Täname kõiki turuosalisi tagasiside esitamise eest!</w:t>
      </w:r>
    </w:p>
    <w:p w14:paraId="6829E984" w14:textId="303CF9A2" w:rsidR="00747FEE" w:rsidRDefault="00EA1C37" w:rsidP="00EA1C37">
      <w:pPr>
        <w:jc w:val="both"/>
      </w:pPr>
      <w:r>
        <w:t xml:space="preserve">Avalaiku konsultatsiooni raames esitas tagasiside neli turuosalist, kelle kommentaarid ning Eleringi vastused on esitatud alljärgnevalt. Turuosalise 1 esitas omapoolsed küsimused ja ettepanekud kommentaaridena liitumistingimuste ja liitumislepingu tüüpvormi tekstis ning liitumistingimustes ja liitumislepingu tüüpvormis on sisse viidud muudatused jäetud nähtavaks </w:t>
      </w:r>
      <w:proofErr w:type="spellStart"/>
      <w:r>
        <w:rPr>
          <w:i/>
          <w:iCs/>
        </w:rPr>
        <w:t>Track</w:t>
      </w:r>
      <w:proofErr w:type="spellEnd"/>
      <w:r>
        <w:rPr>
          <w:i/>
          <w:iCs/>
        </w:rPr>
        <w:t xml:space="preserve"> </w:t>
      </w:r>
      <w:proofErr w:type="spellStart"/>
      <w:r>
        <w:rPr>
          <w:i/>
          <w:iCs/>
        </w:rPr>
        <w:t>change</w:t>
      </w:r>
      <w:proofErr w:type="spellEnd"/>
      <w:r>
        <w:rPr>
          <w:i/>
          <w:iCs/>
        </w:rPr>
        <w:t xml:space="preserve"> </w:t>
      </w:r>
      <w:r>
        <w:t>funktsiooniga.</w:t>
      </w:r>
    </w:p>
    <w:p w14:paraId="25CD90D4" w14:textId="77777777" w:rsidR="00EA1C37" w:rsidRDefault="00EA1C37" w:rsidP="00EA1C37">
      <w:pPr>
        <w:jc w:val="both"/>
      </w:pPr>
    </w:p>
    <w:p w14:paraId="77122CD4" w14:textId="6E7F6091" w:rsidR="00EA1C37" w:rsidRPr="0045041E" w:rsidRDefault="260AD680" w:rsidP="00EA1C37">
      <w:pPr>
        <w:jc w:val="both"/>
        <w:rPr>
          <w:b/>
          <w:bCs/>
          <w:sz w:val="28"/>
          <w:szCs w:val="28"/>
          <w:u w:val="single"/>
        </w:rPr>
      </w:pPr>
      <w:r w:rsidRPr="50C62C50">
        <w:rPr>
          <w:b/>
          <w:bCs/>
          <w:sz w:val="28"/>
          <w:szCs w:val="28"/>
          <w:highlight w:val="green"/>
          <w:u w:val="single"/>
        </w:rPr>
        <w:t>Turuosaline 1</w:t>
      </w:r>
      <w:r w:rsidR="3C23BF5C" w:rsidRPr="50C62C50">
        <w:rPr>
          <w:b/>
          <w:bCs/>
          <w:sz w:val="28"/>
          <w:szCs w:val="28"/>
          <w:highlight w:val="green"/>
          <w:u w:val="single"/>
        </w:rPr>
        <w:t xml:space="preserve"> </w:t>
      </w:r>
    </w:p>
    <w:p w14:paraId="7FA6BF6D" w14:textId="3085217A" w:rsidR="0002036B" w:rsidRDefault="002A3355" w:rsidP="0002036B">
      <w:pPr>
        <w:jc w:val="both"/>
      </w:pPr>
      <w:r>
        <w:t xml:space="preserve">Turuosaline 1 esitas </w:t>
      </w:r>
      <w:r w:rsidR="00B17781">
        <w:t xml:space="preserve">omapoolse </w:t>
      </w:r>
      <w:r w:rsidR="002E3149">
        <w:t>tagasiside</w:t>
      </w:r>
      <w:r w:rsidR="00043A70">
        <w:t xml:space="preserve"> liitumistingimustes ja </w:t>
      </w:r>
      <w:r w:rsidR="00300513">
        <w:t>liitumislepingu tüüpvormi</w:t>
      </w:r>
      <w:r w:rsidR="0030661C">
        <w:t xml:space="preserve"> dokumendi tekstis </w:t>
      </w:r>
      <w:r w:rsidR="00750D37">
        <w:t>kommentaaridena. Suuremas osas on esitatud kommentaarid sõnastuse täpsustamiseks</w:t>
      </w:r>
      <w:r w:rsidR="007C5961">
        <w:t xml:space="preserve">, mis tekkisid teksti </w:t>
      </w:r>
      <w:r w:rsidR="00401043">
        <w:t>lugedes</w:t>
      </w:r>
      <w:r w:rsidR="00FE746C">
        <w:t xml:space="preserve"> ja mis võiksid olla abiks </w:t>
      </w:r>
      <w:r w:rsidR="006456AF">
        <w:t>Eleringile sõnastuse korrigeerimisel</w:t>
      </w:r>
      <w:r w:rsidR="006A2D99">
        <w:t xml:space="preserve">, muutes teksti </w:t>
      </w:r>
      <w:r w:rsidR="00533D21">
        <w:t>paremini arusaadavaks ja täpsemaks.</w:t>
      </w:r>
    </w:p>
    <w:p w14:paraId="3D19C120" w14:textId="506788C4" w:rsidR="00993E84" w:rsidRDefault="00993E84" w:rsidP="0002036B">
      <w:pPr>
        <w:jc w:val="both"/>
      </w:pPr>
      <w:r w:rsidRPr="00993E84">
        <w:t xml:space="preserve">Kuigi kõiki lisatud kommentaare ei ole otstarbekas teistkordselt välja tuua, on siiski võimalik anda </w:t>
      </w:r>
      <w:r w:rsidR="00931898">
        <w:t xml:space="preserve">ülevaate </w:t>
      </w:r>
      <w:r w:rsidR="001E3E86">
        <w:t xml:space="preserve">sisulistest </w:t>
      </w:r>
      <w:r w:rsidRPr="00993E84">
        <w:t>tagasiside</w:t>
      </w:r>
      <w:r w:rsidR="00F3514E">
        <w:t xml:space="preserve"> kommentaaridest</w:t>
      </w:r>
      <w:r w:rsidRPr="00993E84">
        <w:t>.</w:t>
      </w:r>
    </w:p>
    <w:p w14:paraId="594918FC" w14:textId="024D97B2" w:rsidR="00273F06" w:rsidRDefault="3C23BF5C" w:rsidP="50C62C50">
      <w:pPr>
        <w:pStyle w:val="ListParagraph"/>
        <w:numPr>
          <w:ilvl w:val="0"/>
          <w:numId w:val="1"/>
        </w:numPr>
        <w:jc w:val="both"/>
      </w:pPr>
      <w:r>
        <w:t>Klient tegi sõnastuse osa ettepaneku</w:t>
      </w:r>
      <w:r w:rsidR="618AD1A5">
        <w:t xml:space="preserve">, </w:t>
      </w:r>
      <w:r w:rsidR="00D33239">
        <w:t xml:space="preserve">nii liitumistingimustes kui ka liitumislepingu tüüpvormis </w:t>
      </w:r>
      <w:r w:rsidR="00546A9A">
        <w:t>kasutada läbivalt</w:t>
      </w:r>
      <w:r w:rsidR="618AD1A5">
        <w:t xml:space="preserve"> “kulupõhise liitumistasu komponendi” </w:t>
      </w:r>
      <w:r w:rsidR="00546A9A">
        <w:t>mõiste asemel</w:t>
      </w:r>
      <w:r w:rsidR="618AD1A5">
        <w:t xml:space="preserve"> “liitumistasu kulupõhise komponent”</w:t>
      </w:r>
      <w:r w:rsidR="7CA73CCF">
        <w:t>.</w:t>
      </w:r>
    </w:p>
    <w:p w14:paraId="64CDCE42" w14:textId="29C53D70" w:rsidR="00EA1C37" w:rsidRDefault="6FF664BC" w:rsidP="50C62C50">
      <w:pPr>
        <w:jc w:val="both"/>
        <w:rPr>
          <w:i/>
          <w:iCs/>
          <w:color w:val="00B050"/>
        </w:rPr>
      </w:pPr>
      <w:r w:rsidRPr="50C62C50">
        <w:rPr>
          <w:i/>
          <w:iCs/>
          <w:color w:val="00B050"/>
        </w:rPr>
        <w:t xml:space="preserve">Eleringi vastus:  </w:t>
      </w:r>
      <w:r w:rsidR="7CA73CCF" w:rsidRPr="50C62C50">
        <w:rPr>
          <w:i/>
          <w:iCs/>
          <w:color w:val="00B050"/>
        </w:rPr>
        <w:t xml:space="preserve">Täname esitatud märkuse eest. Nõustume esitatud ettepanekuga ning </w:t>
      </w:r>
      <w:r w:rsidR="00BC4254">
        <w:rPr>
          <w:i/>
          <w:iCs/>
          <w:color w:val="00B050"/>
        </w:rPr>
        <w:t xml:space="preserve">dokumentides on läbivalt </w:t>
      </w:r>
      <w:r w:rsidR="00925C10">
        <w:rPr>
          <w:i/>
          <w:iCs/>
          <w:color w:val="00B050"/>
        </w:rPr>
        <w:t>täpsustatud kasutava mõiste sõnastust</w:t>
      </w:r>
      <w:r w:rsidR="0F35823D" w:rsidRPr="50C62C50">
        <w:rPr>
          <w:i/>
          <w:iCs/>
          <w:color w:val="00B050"/>
        </w:rPr>
        <w:t>.</w:t>
      </w:r>
    </w:p>
    <w:p w14:paraId="3796197D" w14:textId="0DF835B6" w:rsidR="50C62C50" w:rsidRDefault="002B16D0" w:rsidP="50C62C50">
      <w:pPr>
        <w:pStyle w:val="ListParagraph"/>
        <w:numPr>
          <w:ilvl w:val="0"/>
          <w:numId w:val="1"/>
        </w:numPr>
        <w:jc w:val="both"/>
      </w:pPr>
      <w:r w:rsidRPr="00076809">
        <w:t>Palume täpsustada, mida on</w:t>
      </w:r>
      <w:r w:rsidR="00AF1020" w:rsidRPr="00076809">
        <w:t xml:space="preserve"> mõeldud</w:t>
      </w:r>
      <w:r w:rsidRPr="00076809">
        <w:t xml:space="preserve"> </w:t>
      </w:r>
      <w:r w:rsidR="007840E5" w:rsidRPr="00076809">
        <w:t xml:space="preserve">liitumislepingu punktis 7.7 nimetatud kulupõhise </w:t>
      </w:r>
      <w:r w:rsidR="006F1CA6" w:rsidRPr="00076809">
        <w:t>liitumistasu</w:t>
      </w:r>
      <w:r w:rsidR="00AF1020" w:rsidRPr="00076809">
        <w:t xml:space="preserve"> </w:t>
      </w:r>
      <w:r w:rsidR="00E037F3">
        <w:t xml:space="preserve">komponendi </w:t>
      </w:r>
      <w:r w:rsidR="00982393">
        <w:t xml:space="preserve">kulu, mis peab üle </w:t>
      </w:r>
      <w:r w:rsidR="00E0637B">
        <w:t>kahe korra kallinema</w:t>
      </w:r>
    </w:p>
    <w:p w14:paraId="63B175CF" w14:textId="3B70BABA" w:rsidR="00076809" w:rsidRDefault="00076809" w:rsidP="00076809">
      <w:pPr>
        <w:jc w:val="both"/>
        <w:rPr>
          <w:i/>
          <w:iCs/>
          <w:color w:val="00B050"/>
        </w:rPr>
      </w:pPr>
      <w:r w:rsidRPr="00076809">
        <w:rPr>
          <w:i/>
          <w:iCs/>
          <w:color w:val="00B050"/>
        </w:rPr>
        <w:t>Eleringi vastus</w:t>
      </w:r>
      <w:r>
        <w:rPr>
          <w:i/>
          <w:iCs/>
          <w:color w:val="00B050"/>
        </w:rPr>
        <w:t>:</w:t>
      </w:r>
    </w:p>
    <w:p w14:paraId="22717DF2" w14:textId="4C0FC080" w:rsidR="00076809" w:rsidRDefault="00076809" w:rsidP="00076809">
      <w:pPr>
        <w:jc w:val="both"/>
        <w:rPr>
          <w:i/>
          <w:iCs/>
          <w:color w:val="00B050"/>
        </w:rPr>
      </w:pPr>
      <w:r>
        <w:rPr>
          <w:i/>
          <w:iCs/>
          <w:color w:val="00B050"/>
        </w:rPr>
        <w:t xml:space="preserve">Täname tähelepanu juhtimise eest. Kulupõhise komponendi </w:t>
      </w:r>
      <w:r w:rsidR="0031645B">
        <w:rPr>
          <w:i/>
          <w:iCs/>
          <w:color w:val="00B050"/>
        </w:rPr>
        <w:t xml:space="preserve">kallinemise all on Elering mõelnud </w:t>
      </w:r>
      <w:r w:rsidR="00430830">
        <w:rPr>
          <w:i/>
          <w:iCs/>
          <w:color w:val="00B050"/>
        </w:rPr>
        <w:t xml:space="preserve">ehitushanke hinna kallinemist </w:t>
      </w:r>
      <w:r w:rsidR="00734C73">
        <w:rPr>
          <w:i/>
          <w:iCs/>
          <w:color w:val="00B050"/>
        </w:rPr>
        <w:t xml:space="preserve">üle kahe korra ning täpsustasime vastavalt liitumislepingu punktis 7.7 </w:t>
      </w:r>
      <w:r w:rsidR="00992C81">
        <w:rPr>
          <w:i/>
          <w:iCs/>
          <w:color w:val="00B050"/>
        </w:rPr>
        <w:t>ja liitumislepingu punktis 2.</w:t>
      </w:r>
      <w:r w:rsidR="007B4DB4">
        <w:rPr>
          <w:i/>
          <w:iCs/>
          <w:color w:val="00B050"/>
        </w:rPr>
        <w:t>7 toodud kulupõhise komponendi kallinemist</w:t>
      </w:r>
      <w:r w:rsidR="008A1420">
        <w:rPr>
          <w:i/>
          <w:iCs/>
          <w:color w:val="00B050"/>
        </w:rPr>
        <w:t>.</w:t>
      </w:r>
    </w:p>
    <w:p w14:paraId="6D87E84C" w14:textId="5355704D" w:rsidR="00A158A0" w:rsidRDefault="004B17A5" w:rsidP="004B17A5">
      <w:pPr>
        <w:pStyle w:val="ListParagraph"/>
        <w:numPr>
          <w:ilvl w:val="0"/>
          <w:numId w:val="1"/>
        </w:numPr>
        <w:jc w:val="both"/>
      </w:pPr>
      <w:r w:rsidRPr="00721C68">
        <w:t xml:space="preserve">Liitumistingimustes on lisatud </w:t>
      </w:r>
      <w:r w:rsidR="00DD6931" w:rsidRPr="00721C68">
        <w:t>uu</w:t>
      </w:r>
      <w:r w:rsidR="004872BD" w:rsidRPr="00721C68">
        <w:t>s</w:t>
      </w:r>
      <w:r w:rsidR="00DD6931" w:rsidRPr="00721C68">
        <w:t xml:space="preserve"> punkt 2.3.</w:t>
      </w:r>
      <w:r w:rsidR="004872BD" w:rsidRPr="00721C68">
        <w:t>7 koos alapunktidega</w:t>
      </w:r>
      <w:r w:rsidR="00445535">
        <w:t>.</w:t>
      </w:r>
      <w:r w:rsidR="00151247">
        <w:t xml:space="preserve"> Palume selgitada punktide tähendust ning m</w:t>
      </w:r>
      <w:r w:rsidR="004A2F67" w:rsidRPr="00721C68">
        <w:t>ille</w:t>
      </w:r>
      <w:r w:rsidR="00445535">
        <w:t>le tuginedes</w:t>
      </w:r>
      <w:r w:rsidR="004A2F67" w:rsidRPr="00721C68">
        <w:t xml:space="preserve"> </w:t>
      </w:r>
      <w:r w:rsidR="002B3865" w:rsidRPr="00721C68">
        <w:t xml:space="preserve">muudetakse </w:t>
      </w:r>
      <w:r w:rsidR="00E534D4" w:rsidRPr="00721C68">
        <w:t>tagasiulatuvalt liitumisle</w:t>
      </w:r>
      <w:r w:rsidR="006031F3" w:rsidRPr="00721C68">
        <w:t xml:space="preserve">pingu tingimusi </w:t>
      </w:r>
      <w:r w:rsidR="007C151B">
        <w:t xml:space="preserve">ja kohustatakse klienti </w:t>
      </w:r>
      <w:r w:rsidR="00721C68" w:rsidRPr="00721C68">
        <w:t>sõlmi</w:t>
      </w:r>
      <w:r w:rsidR="007C151B">
        <w:t xml:space="preserve">ma </w:t>
      </w:r>
      <w:r w:rsidR="00721C68" w:rsidRPr="00721C68">
        <w:t>vastava liitumislepingu muutmise kokkuleppe</w:t>
      </w:r>
      <w:r w:rsidR="007C151B">
        <w:t>?</w:t>
      </w:r>
    </w:p>
    <w:p w14:paraId="2945EE60" w14:textId="091FECD9" w:rsidR="007C151B" w:rsidRDefault="007C151B" w:rsidP="007C151B">
      <w:pPr>
        <w:jc w:val="both"/>
        <w:rPr>
          <w:i/>
          <w:iCs/>
          <w:color w:val="00B050"/>
        </w:rPr>
      </w:pPr>
      <w:r w:rsidRPr="007C151B">
        <w:rPr>
          <w:i/>
          <w:iCs/>
          <w:color w:val="00B050"/>
        </w:rPr>
        <w:t>Eleringi vastus:</w:t>
      </w:r>
    </w:p>
    <w:p w14:paraId="23CE7AB6" w14:textId="332FD430" w:rsidR="005F1623" w:rsidRPr="005F1623" w:rsidRDefault="005F1623" w:rsidP="005F1623">
      <w:pPr>
        <w:jc w:val="both"/>
        <w:rPr>
          <w:i/>
          <w:iCs/>
          <w:color w:val="00B050"/>
        </w:rPr>
      </w:pPr>
      <w:r w:rsidRPr="005F1623">
        <w:rPr>
          <w:i/>
          <w:iCs/>
          <w:color w:val="00B050"/>
        </w:rPr>
        <w:t>Käesolevas punkt on lisatud lähtuvalt</w:t>
      </w:r>
      <w:r w:rsidR="007F65AA">
        <w:rPr>
          <w:i/>
          <w:iCs/>
          <w:color w:val="00B050"/>
        </w:rPr>
        <w:t xml:space="preserve"> elektrituruseaduse muudatuste eelnõu (556SE)</w:t>
      </w:r>
      <w:r w:rsidRPr="005F1623">
        <w:rPr>
          <w:i/>
          <w:iCs/>
          <w:color w:val="00B050"/>
        </w:rPr>
        <w:t xml:space="preserve"> §-s</w:t>
      </w:r>
      <w:r w:rsidR="00DA6774">
        <w:rPr>
          <w:i/>
          <w:iCs/>
          <w:color w:val="00B050"/>
        </w:rPr>
        <w:t>t</w:t>
      </w:r>
      <w:r w:rsidRPr="005F1623">
        <w:rPr>
          <w:i/>
          <w:iCs/>
          <w:color w:val="00B050"/>
        </w:rPr>
        <w:t xml:space="preserve"> 111</w:t>
      </w:r>
      <w:r w:rsidRPr="005F1623">
        <w:rPr>
          <w:i/>
          <w:iCs/>
          <w:color w:val="00B050"/>
          <w:vertAlign w:val="superscript"/>
        </w:rPr>
        <w:t>3</w:t>
      </w:r>
      <w:r w:rsidRPr="005F1623">
        <w:rPr>
          <w:i/>
          <w:iCs/>
          <w:color w:val="00B050"/>
        </w:rPr>
        <w:t xml:space="preserve"> lg 21, mille kohaselt on põhivõrguettevõtjal kohustus kohaldada üleminekuperioodil (lepingutele, mis on sõlmitud pärast käesolevate liitumistingimuste kehtima hakkamist, kuid enne liitumistasu hinnakirja kehtestamist) liitumislepingutes hinnakirjapõhist liitumistasu juhul, kui see on kliendile soodsam, seda ka tagasiulatuvalt.</w:t>
      </w:r>
    </w:p>
    <w:p w14:paraId="43466D89" w14:textId="5B29F302" w:rsidR="005F1623" w:rsidRPr="005F1623" w:rsidRDefault="005F1623" w:rsidP="005F1623">
      <w:pPr>
        <w:jc w:val="both"/>
        <w:rPr>
          <w:i/>
          <w:iCs/>
          <w:color w:val="00B050"/>
        </w:rPr>
      </w:pPr>
      <w:r w:rsidRPr="005F1623">
        <w:rPr>
          <w:i/>
          <w:iCs/>
          <w:color w:val="00B050"/>
        </w:rPr>
        <w:t>Täpsustasime punkti 2.3.7.3 sõnastust, mille kohaselt võivad pooled sõlmida kliendi tahteavalduse alusel kokkuleppe lepingus kulupõhise liitumistasu muutmiseks hinnakirjapõhiseks liitumistasuks enne ELTS §-s 111</w:t>
      </w:r>
      <w:r w:rsidR="00DA6774" w:rsidRPr="00DA6774">
        <w:rPr>
          <w:i/>
          <w:iCs/>
          <w:color w:val="00B050"/>
          <w:vertAlign w:val="superscript"/>
        </w:rPr>
        <w:t>3</w:t>
      </w:r>
      <w:r w:rsidRPr="005F1623">
        <w:rPr>
          <w:i/>
          <w:iCs/>
          <w:color w:val="00B050"/>
        </w:rPr>
        <w:t xml:space="preserve"> lg 21 toodud lõpptähtaega. </w:t>
      </w:r>
    </w:p>
    <w:p w14:paraId="7FE4FD4D" w14:textId="27104CFE" w:rsidR="005F1623" w:rsidRPr="005F1623" w:rsidRDefault="005F1623" w:rsidP="005F1623">
      <w:pPr>
        <w:jc w:val="both"/>
        <w:rPr>
          <w:i/>
          <w:iCs/>
          <w:color w:val="00B050"/>
        </w:rPr>
      </w:pPr>
      <w:r w:rsidRPr="005F1623">
        <w:rPr>
          <w:i/>
          <w:iCs/>
          <w:color w:val="00B050"/>
        </w:rPr>
        <w:lastRenderedPageBreak/>
        <w:t>Kulupõhise liitumistasu asendamiseks hinnakirjapõhise liitumistasuga tuleb sõlmida</w:t>
      </w:r>
      <w:r w:rsidR="00F31148">
        <w:rPr>
          <w:i/>
          <w:iCs/>
          <w:color w:val="00B050"/>
        </w:rPr>
        <w:t>,</w:t>
      </w:r>
      <w:r w:rsidRPr="005F1623">
        <w:rPr>
          <w:i/>
          <w:iCs/>
          <w:color w:val="00B050"/>
        </w:rPr>
        <w:t xml:space="preserve"> Poolte lepingulise suhte selguse huvides</w:t>
      </w:r>
      <w:r w:rsidR="00F31148">
        <w:rPr>
          <w:i/>
          <w:iCs/>
          <w:color w:val="00B050"/>
        </w:rPr>
        <w:t>,</w:t>
      </w:r>
      <w:r w:rsidRPr="005F1623">
        <w:rPr>
          <w:i/>
          <w:iCs/>
          <w:color w:val="00B050"/>
        </w:rPr>
        <w:t xml:space="preserve"> lepingu muutmise kokkulepe, millega muudetakse kliendi poolt tasumisele kuulva liitumistasu suurus, võttes arvesse kliendi poolt varasemalt tasutud liitumistasu.</w:t>
      </w:r>
    </w:p>
    <w:p w14:paraId="23622588" w14:textId="77777777" w:rsidR="007C151B" w:rsidRPr="00721C68" w:rsidRDefault="007C151B" w:rsidP="007C151B">
      <w:pPr>
        <w:jc w:val="both"/>
      </w:pPr>
    </w:p>
    <w:p w14:paraId="1F4E3AE1" w14:textId="4192407E" w:rsidR="00EA1C37" w:rsidRPr="0045041E" w:rsidRDefault="00EA1C37" w:rsidP="00EA1C37">
      <w:pPr>
        <w:jc w:val="both"/>
        <w:rPr>
          <w:b/>
          <w:bCs/>
          <w:sz w:val="28"/>
          <w:szCs w:val="28"/>
          <w:highlight w:val="green"/>
          <w:u w:val="single"/>
        </w:rPr>
      </w:pPr>
      <w:r w:rsidRPr="0045041E">
        <w:rPr>
          <w:b/>
          <w:bCs/>
          <w:sz w:val="28"/>
          <w:szCs w:val="28"/>
          <w:highlight w:val="green"/>
          <w:u w:val="single"/>
        </w:rPr>
        <w:t>Turuosaline 2</w:t>
      </w:r>
      <w:r w:rsidR="00BF169D">
        <w:rPr>
          <w:b/>
          <w:bCs/>
          <w:sz w:val="28"/>
          <w:szCs w:val="28"/>
          <w:highlight w:val="green"/>
          <w:u w:val="single"/>
        </w:rPr>
        <w:t xml:space="preserve"> </w:t>
      </w:r>
    </w:p>
    <w:p w14:paraId="15A92B4C" w14:textId="26DB4A2D" w:rsidR="0045041E" w:rsidRPr="0045041E" w:rsidRDefault="00273F06" w:rsidP="0045041E">
      <w:pPr>
        <w:pStyle w:val="ListParagraph"/>
        <w:numPr>
          <w:ilvl w:val="0"/>
          <w:numId w:val="5"/>
        </w:numPr>
        <w:jc w:val="both"/>
        <w:rPr>
          <w:b/>
          <w:bCs/>
        </w:rPr>
      </w:pPr>
      <w:r>
        <w:rPr>
          <w:b/>
          <w:bCs/>
        </w:rPr>
        <w:t>Projektijuhtimise tasu elektripaigaldise rajamisel kliendi poolt</w:t>
      </w:r>
      <w:r w:rsidR="00EA1C37" w:rsidRPr="0045041E">
        <w:rPr>
          <w:b/>
          <w:bCs/>
        </w:rPr>
        <w:t xml:space="preserve"> </w:t>
      </w:r>
    </w:p>
    <w:p w14:paraId="6FEA2AD6" w14:textId="53A5AB4A" w:rsidR="00EA1C37" w:rsidRPr="00EA1C37" w:rsidRDefault="00EA1C37" w:rsidP="0045041E">
      <w:pPr>
        <w:jc w:val="both"/>
      </w:pPr>
      <w:r w:rsidRPr="00EA1C37">
        <w:t xml:space="preserve">Kliendil on võimalus kokkuleppel põhivõrguettevõtjaga ning kooskõlas punktiga 2.4.1 rajada liitumiseks vajalik põhivõrguettevõtja omandisse jääv 110 ja 330 </w:t>
      </w:r>
      <w:proofErr w:type="spellStart"/>
      <w:r w:rsidRPr="00EA1C37">
        <w:t>kV</w:t>
      </w:r>
      <w:proofErr w:type="spellEnd"/>
      <w:r w:rsidRPr="00EA1C37">
        <w:t xml:space="preserve"> ülempingega põhivõrk, mis põhineb kulupõhisel liitumistasu komponendil. Klient peab sellisel juhul põhivõrguettevõtja omandisse jääva elektripaigaldise enda poolsel rajamisel lähtuma riigihangete seadusest (edaspidi: RHS) tuleneva hankekohustusega ja liitumislepingus sätestatust. Klient peab käesoleva punkti erisuse kohaldamisel tasuma lisaks </w:t>
      </w:r>
      <w:r w:rsidRPr="0045041E">
        <w:rPr>
          <w:u w:val="single"/>
        </w:rPr>
        <w:t>muude liitumistasu komponentidele ka põhivõrguettevõtjale kliendi poolt rajatava elektripaigaldise eest projektijuhtimistasu.</w:t>
      </w:r>
      <w:r w:rsidRPr="00EA1C37">
        <w:t>  </w:t>
      </w:r>
    </w:p>
    <w:p w14:paraId="057A52D3" w14:textId="77777777" w:rsidR="00EA1C37" w:rsidRPr="00EA1C37" w:rsidRDefault="00EA1C37" w:rsidP="00EA1C37">
      <w:pPr>
        <w:jc w:val="both"/>
      </w:pPr>
      <w:r w:rsidRPr="00EA1C37">
        <w:t>Palume täpsustada, millised on muud liitumistasu komponendid juhul, kui klient rajab võrgu ise ja milles seisneb Eleringi poolne projektijuhtimine.  </w:t>
      </w:r>
    </w:p>
    <w:p w14:paraId="40C81E87" w14:textId="77777777" w:rsidR="00EA1C37" w:rsidRPr="00EA1C37" w:rsidRDefault="00EA1C37" w:rsidP="00EA1C37">
      <w:pPr>
        <w:jc w:val="both"/>
        <w:rPr>
          <w:i/>
          <w:iCs/>
          <w:color w:val="00B050"/>
        </w:rPr>
      </w:pPr>
      <w:r w:rsidRPr="00EA1C37">
        <w:rPr>
          <w:i/>
          <w:iCs/>
          <w:color w:val="00B050"/>
        </w:rPr>
        <w:t>Eleringi vastus: </w:t>
      </w:r>
    </w:p>
    <w:p w14:paraId="5847EB85" w14:textId="77777777" w:rsidR="00EA1C37" w:rsidRPr="00EA1C37" w:rsidRDefault="00EA1C37" w:rsidP="00EA1C37">
      <w:pPr>
        <w:jc w:val="both"/>
        <w:rPr>
          <w:i/>
          <w:iCs/>
          <w:color w:val="00B050"/>
        </w:rPr>
      </w:pPr>
      <w:r w:rsidRPr="00EA1C37">
        <w:rPr>
          <w:i/>
          <w:iCs/>
          <w:color w:val="00B050"/>
        </w:rPr>
        <w:t>Selgitame, et projektijuhtimise tasu eesmärk on katta Eleringi tööjõukulud, mis kaasnevad kulupõhise elektripaigaldise (eeskätt uus rajatav elektriliin) rajamisega kliendi poolt. Põhjusel, et elektripaigaldis antakse pärast selle valmimist üle põhivõrguettevõtjale, siis peab Elering veenduma selle nõuetele vastavuses, mille tõttu ei saa elektripaigaldise ehitamisprotsessis Eleringi välja jätta. Samuti on kliendi kulude kokkuhoiu mõistes vajalik kaasata Eleringi ehitusprotsessi juba varasemas staadiumis, et vältida olukorda, kus pärast elektripaigaldise valmimist selgub vajaduse selle ümberehitamiseks.  </w:t>
      </w:r>
    </w:p>
    <w:p w14:paraId="5A233C49" w14:textId="77777777" w:rsidR="00EA1C37" w:rsidRDefault="00EA1C37" w:rsidP="00EA1C37">
      <w:pPr>
        <w:jc w:val="both"/>
        <w:rPr>
          <w:i/>
          <w:iCs/>
          <w:color w:val="00B050"/>
        </w:rPr>
      </w:pPr>
      <w:r w:rsidRPr="00EA1C37">
        <w:rPr>
          <w:i/>
          <w:iCs/>
          <w:color w:val="00B050"/>
        </w:rPr>
        <w:t>Projektijuhtimise tasu eest moodustab Elering projektimeeskonna, kes koostab hankedokumentide tehnilised nõuded, konsulteerib klienti hanke läbimenetluse läbiviimisel (sh pakkumuste tehnilise lahenduse kontrollimine ja hankemenetluse kestel tagasiside andmine) ja kooskõlastab hankedokumendid enne nende avaldamist riigihangete registris, konsulteerib töövõtjat elektripaigaldise ehitustööde teostamisel, planeerib tööde teostamiseks vajalikud  elektrikatkestused, arvutab releekaitse sätted (vajalik elektripaigaldise pingestamiseks ja töötamiseks teiste elektripaigaldistega), sõlmib vajalikud maakasutuskokkulepped, ehitusprotsessis objekti ohutusnõuete ning tehniliste kontrollide läbiviimine, tööde valmimise ja omandi üleandmise järgselt garantiiprobleemidega tegelemine jne. </w:t>
      </w:r>
    </w:p>
    <w:p w14:paraId="4990EF1A" w14:textId="7EE4929E" w:rsidR="00000DCA" w:rsidRPr="00EA1C37" w:rsidRDefault="00000DCA" w:rsidP="00EA1C37">
      <w:pPr>
        <w:jc w:val="both"/>
        <w:rPr>
          <w:i/>
          <w:iCs/>
          <w:color w:val="00B050"/>
        </w:rPr>
      </w:pPr>
      <w:r>
        <w:rPr>
          <w:i/>
          <w:iCs/>
          <w:color w:val="00B050"/>
        </w:rPr>
        <w:t>Muude kulude all on mõeldud kulupõhise komponendi (eeskätt uue elektriliini ehitami</w:t>
      </w:r>
      <w:r w:rsidR="00A024AB">
        <w:rPr>
          <w:i/>
          <w:iCs/>
          <w:color w:val="00B050"/>
        </w:rPr>
        <w:t>ne</w:t>
      </w:r>
      <w:r>
        <w:rPr>
          <w:i/>
          <w:iCs/>
          <w:color w:val="00B050"/>
        </w:rPr>
        <w:t xml:space="preserve">) </w:t>
      </w:r>
      <w:r w:rsidR="00A024AB">
        <w:rPr>
          <w:i/>
          <w:iCs/>
          <w:color w:val="00B050"/>
        </w:rPr>
        <w:t>rajamiseks põhjendatud kulusid, näiteks elektripaigaldise ehitamiseks vajalike maakasutusõigusega seadmisega seonduvaid kulusid.</w:t>
      </w:r>
      <w:r>
        <w:rPr>
          <w:i/>
          <w:iCs/>
          <w:color w:val="00B050"/>
        </w:rPr>
        <w:t xml:space="preserve"> </w:t>
      </w:r>
    </w:p>
    <w:p w14:paraId="442E162A" w14:textId="3313FE38" w:rsidR="0045041E" w:rsidRPr="0045041E" w:rsidRDefault="00EA1C37" w:rsidP="0045041E">
      <w:pPr>
        <w:pStyle w:val="ListParagraph"/>
        <w:numPr>
          <w:ilvl w:val="0"/>
          <w:numId w:val="5"/>
        </w:numPr>
        <w:jc w:val="both"/>
        <w:rPr>
          <w:b/>
          <w:bCs/>
        </w:rPr>
      </w:pPr>
      <w:r w:rsidRPr="00EA1C37">
        <w:rPr>
          <w:b/>
          <w:bCs/>
        </w:rPr>
        <w:t xml:space="preserve"> </w:t>
      </w:r>
      <w:r w:rsidR="00BF169D">
        <w:rPr>
          <w:b/>
          <w:bCs/>
        </w:rPr>
        <w:t>Kordushanke piirmäär ja liitumistasu tagastamine</w:t>
      </w:r>
      <w:r w:rsidRPr="00EA1C37">
        <w:rPr>
          <w:b/>
          <w:bCs/>
        </w:rPr>
        <w:t xml:space="preserve"> </w:t>
      </w:r>
    </w:p>
    <w:p w14:paraId="14CC96BC" w14:textId="70EA8D9E" w:rsidR="00EA1C37" w:rsidRPr="00EA1C37" w:rsidRDefault="00273F06" w:rsidP="00EA1C37">
      <w:pPr>
        <w:jc w:val="both"/>
      </w:pPr>
      <w:r>
        <w:t>Liitumislepingu</w:t>
      </w:r>
      <w:r w:rsidR="0045041E">
        <w:t xml:space="preserve"> punkti</w:t>
      </w:r>
      <w:r>
        <w:t xml:space="preserve"> 2.7</w:t>
      </w:r>
      <w:r w:rsidR="0045041E">
        <w:t xml:space="preserve"> </w:t>
      </w:r>
      <w:r w:rsidR="00EA1C37" w:rsidRPr="00EA1C37">
        <w:t xml:space="preserve">kohaselt kliendil on õigus nõuda hiljemalt kahekümne (20) päeva jooksul pärast liitumislepingu täitmiseks vajalike kulupõhise liitumistasu komponendi projekteerimis- ja ehitustööde teostamiseks või teenuste osutamiseks läbiviidud hanke tulemustest kirjaliku teate esitamist põhivõrguettevõtja poolt liitumislepingu täitmiseks kordushanke läbiviimist juhul, kui hankemenetluse tulemusel väljaselgitatud edukas pakkumus ületab liitumislepingus prognoositud </w:t>
      </w:r>
      <w:r w:rsidR="00EA1C37" w:rsidRPr="00EA1C37">
        <w:rPr>
          <w:u w:val="single"/>
        </w:rPr>
        <w:t xml:space="preserve">maksumust vähemalt üle kahe korra </w:t>
      </w:r>
      <w:r w:rsidR="00EA1C37" w:rsidRPr="00EA1C37">
        <w:t xml:space="preserve">ning tööde teostamise kulud ei kuulu metoodika alusel samaaegsuse järgi jagamisele. Käesoleva punkti alusel kordushanke läbiviimist on kliendil õigus nõuda </w:t>
      </w:r>
      <w:r w:rsidR="00EA1C37" w:rsidRPr="00EA1C37">
        <w:lastRenderedPageBreak/>
        <w:t>üks kord põhivõrguettevõtja poolt läbiviidud hanke kohta ning liitumislepingu lisas 1 punktis 3.5.2 sätestatud tähtaeg pikeneb aja võrra, mis kulub põhivõrguettevõtjal kordushanke läbiviimiseks.  </w:t>
      </w:r>
    </w:p>
    <w:p w14:paraId="07BF7873" w14:textId="77777777" w:rsidR="00EA1C37" w:rsidRPr="00EA1C37" w:rsidRDefault="00EA1C37" w:rsidP="00EA1C37">
      <w:pPr>
        <w:jc w:val="both"/>
      </w:pPr>
      <w:r w:rsidRPr="00EA1C37">
        <w:t>P. 7.6. sätestab, et kui liitumisleping lõpeb enne selle täitmist kliendist tingitud põhjustel, siis välja arvatud lepingu punktis 7.7 kirjeldatud erandi korral, liitumistasu kliendile ei tagastata.  </w:t>
      </w:r>
    </w:p>
    <w:p w14:paraId="577C988F" w14:textId="77777777" w:rsidR="00EA1C37" w:rsidRPr="00EA1C37" w:rsidRDefault="00EA1C37" w:rsidP="00EA1C37">
      <w:pPr>
        <w:jc w:val="both"/>
      </w:pPr>
      <w:r w:rsidRPr="00EA1C37">
        <w:t>P. 7.7. alusel Klient võib liitumislepingu üles öelda või sellest taganeda juhul, kui liitumise käigus selguv kulupõhise liitumistasu komponendi tegelik suurus osutub üle kahe korra kallimaks võrreldes algselt liitumislepingus prognoositud kulupõhise liitumistasuga. Sellisel juhul tagastab põhivõrguettevõtja kliendile võrgutugevdus-, võrguühendustasu ja kulupõhise liitumistasu vastavalt lepingu punktile 7.10. Kliendil on õigus küsida põhivõrguettevõtjalt teavet ja tõendeid käesoleva punkti alusel tehtava mahaarvamise aluseks olevate kulude olemasolu ja suuruse kohta.</w:t>
      </w:r>
      <w:r w:rsidRPr="00EA1C37">
        <w:rPr>
          <w:i/>
          <w:iCs/>
        </w:rPr>
        <w:t> </w:t>
      </w:r>
      <w:r w:rsidRPr="00EA1C37">
        <w:t> </w:t>
      </w:r>
    </w:p>
    <w:p w14:paraId="61F59C69" w14:textId="77777777" w:rsidR="00EA1C37" w:rsidRPr="00EA1C37" w:rsidRDefault="00EA1C37" w:rsidP="00EA1C37">
      <w:pPr>
        <w:jc w:val="both"/>
      </w:pPr>
      <w:r w:rsidRPr="00EA1C37">
        <w:t>Kehtivates tüüptingimustes on kulupõhise liitumise komponendi võimalik suurenemine piiratud 50%-</w:t>
      </w:r>
      <w:proofErr w:type="spellStart"/>
      <w:r w:rsidRPr="00EA1C37">
        <w:t>ga</w:t>
      </w:r>
      <w:proofErr w:type="spellEnd"/>
      <w:r w:rsidRPr="00EA1C37">
        <w:t>. Palume selgitada, millistel objektiivsetel põhjendusel on muudetud liitumislepingu tingimusi nii, et kulupõhise liitumistasu komponendi 50% võimalik kasvu asemel võib see kasvada üle kahe korra. Klient on sunnitud muudatusega nõustuma, kui ei soovi liitumislepingut üles öelda või sellest taganeda. Näiteks, kui klient ei nõustuks kulupõhise liitumistasu komponendi suurenemisega, mille tõus jääks veidi alla kahe korra, siis kaotaks ta lepingu ülesütlemisel liitumistasu. Ebamõistlik liitumistasu tõus võib takistada uute taastuvenergia tootjate turule tulekut ning kahjustada sektori konkurentsivõimet.  Võrguettevõtja, kui loomuliku monopoli, puhul on eriti oluline, et hinnakujundus oleks läbipaistev, põhjendatud ja mitte diskrimineeriv. Järsk hinnatõus üle kahe korra võib moonutada turgu, viia projektide ebaõnnestumiseni ning seada kahtluse alla võrguettevõtja usaldusväärsuse. Lisaks eeltoodule on oht, et uued liitujad on sunnitud enda kanda võtma suurema koormuse (oluline tasu tõus või lepingu ülesütlemine)</w:t>
      </w:r>
      <w:r w:rsidRPr="00EA1C37">
        <w:rPr>
          <w:b/>
          <w:bCs/>
        </w:rPr>
        <w:t xml:space="preserve"> </w:t>
      </w:r>
      <w:r w:rsidRPr="00EA1C37">
        <w:t>võrreldes varasemate liitujatega. Selline uute liitujate ebaproportsionaalne koormamine rikub turuosaliste võrdsuspõhimõtet. </w:t>
      </w:r>
    </w:p>
    <w:p w14:paraId="267E48A7" w14:textId="77777777" w:rsidR="00EA1C37" w:rsidRPr="00EA1C37" w:rsidRDefault="00EA1C37" w:rsidP="00EA1C37">
      <w:pPr>
        <w:jc w:val="both"/>
      </w:pPr>
      <w:r w:rsidRPr="00EA1C37">
        <w:t>Lisaks eeltoodule võib punktiga 7.6. võimaldatud liitumistasu kliendile tagastamata jätmine kliendile lepingu ülesütlemisel olla ebaproportsionaalne õigus. Kui näiteks klient on tasunud liitumistasu rohkem, kui põhivõrguettevõtja on teinud liitumise väljaehitamiseks tegelikke kulutusi, siis tuleks üle jääv tasu osa kliendile tagastada.  </w:t>
      </w:r>
    </w:p>
    <w:p w14:paraId="55B606B5" w14:textId="77777777" w:rsidR="00EA1C37" w:rsidRPr="00EA1C37" w:rsidRDefault="00EA1C37" w:rsidP="00EA1C37">
      <w:pPr>
        <w:jc w:val="both"/>
        <w:rPr>
          <w:i/>
          <w:iCs/>
          <w:color w:val="00B050"/>
        </w:rPr>
      </w:pPr>
      <w:r w:rsidRPr="00EA1C37">
        <w:rPr>
          <w:i/>
          <w:iCs/>
          <w:color w:val="00B050"/>
        </w:rPr>
        <w:t>Eleringi vastus: </w:t>
      </w:r>
    </w:p>
    <w:p w14:paraId="432C3801" w14:textId="77777777" w:rsidR="00EA1C37" w:rsidRPr="00EA1C37" w:rsidRDefault="00EA1C37" w:rsidP="00EA1C37">
      <w:pPr>
        <w:jc w:val="both"/>
        <w:rPr>
          <w:i/>
          <w:iCs/>
          <w:color w:val="00B050"/>
          <w:lang w:val="en-US"/>
        </w:rPr>
      </w:pPr>
      <w:r w:rsidRPr="00EA1C37">
        <w:rPr>
          <w:i/>
          <w:iCs/>
          <w:color w:val="00B050"/>
        </w:rPr>
        <w:t>Täname esitatud märkuse eest. Nõustume esitatud ettepanekuga jätta liitumistingimustes kliendile õiguse nõuda kulupõhise komponendi ehitamiseks kordushanget juhul, kui hankelepingu maksumus ületab esialgset prognoosi vähemalt 50 protsendi ulatuses.</w:t>
      </w:r>
      <w:r w:rsidRPr="00EA1C37">
        <w:rPr>
          <w:i/>
          <w:iCs/>
          <w:color w:val="00B050"/>
          <w:lang w:val="en-US"/>
        </w:rPr>
        <w:t> </w:t>
      </w:r>
    </w:p>
    <w:p w14:paraId="126D4792" w14:textId="77777777" w:rsidR="00EA1C37" w:rsidRPr="00EA1C37" w:rsidRDefault="00EA1C37" w:rsidP="00EA1C37">
      <w:pPr>
        <w:jc w:val="both"/>
        <w:rPr>
          <w:i/>
          <w:iCs/>
          <w:color w:val="00B050"/>
          <w:lang w:val="en-US"/>
        </w:rPr>
      </w:pPr>
      <w:r w:rsidRPr="00EA1C37">
        <w:rPr>
          <w:i/>
          <w:iCs/>
          <w:color w:val="00B050"/>
        </w:rPr>
        <w:t>Liitumistasu tagastamise osas selgitame, et Elering peab lähtuma määruses elektrituru toimise võrgueeskirja (ESTVE) muudatustest, milles on ette nähtud liitumistasu tagastamine ainult juhul, kui liitumistasu kulupõhise komponendi hankelepingu maksumus ületab üle kahe korra esialgset prognoosi. Sellest tulenevalt ei saa Elering kehtestada liitumistingimustes regulatsiooni, mis on määrusega otseses vastuolus. Seega on fikseeritud liitumistasu tagastamine võimalik ainult Teie poolt viidatud liitumislepingu punkti 7.7. alusel.</w:t>
      </w:r>
      <w:r w:rsidRPr="00EA1C37">
        <w:rPr>
          <w:i/>
          <w:iCs/>
          <w:color w:val="00B050"/>
          <w:lang w:val="en-US"/>
        </w:rPr>
        <w:t> </w:t>
      </w:r>
    </w:p>
    <w:p w14:paraId="055F7147" w14:textId="77777777" w:rsidR="00EA1C37" w:rsidRPr="00EA1C37" w:rsidRDefault="00EA1C37" w:rsidP="00EA1C37">
      <w:pPr>
        <w:jc w:val="both"/>
      </w:pPr>
      <w:r w:rsidRPr="00EA1C37">
        <w:t> </w:t>
      </w:r>
    </w:p>
    <w:p w14:paraId="068CDDA2" w14:textId="041E0768" w:rsidR="0045041E" w:rsidRPr="0045041E" w:rsidRDefault="0045041E" w:rsidP="0045041E">
      <w:pPr>
        <w:pStyle w:val="ListParagraph"/>
        <w:numPr>
          <w:ilvl w:val="0"/>
          <w:numId w:val="5"/>
        </w:numPr>
        <w:jc w:val="both"/>
        <w:rPr>
          <w:b/>
          <w:bCs/>
        </w:rPr>
      </w:pPr>
      <w:r w:rsidRPr="0045041E">
        <w:rPr>
          <w:b/>
          <w:bCs/>
        </w:rPr>
        <w:t>Paindliku liitumise regulatsiooni kustutamine liitumistingimustes</w:t>
      </w:r>
    </w:p>
    <w:p w14:paraId="39895DFA" w14:textId="7699D4FD" w:rsidR="00EA1C37" w:rsidRPr="00EA1C37" w:rsidRDefault="00EA1C37" w:rsidP="00EA1C37">
      <w:pPr>
        <w:jc w:val="both"/>
      </w:pPr>
      <w:r w:rsidRPr="00EA1C37">
        <w:t xml:space="preserve">Liitumistingimustest on kustutatud punktid paindliku liitumise tingimuste kohta. Samas on eelnõude infosüsteemis menetluses elektrituruseaduse ja riigihangete seaduse muutmise seaduse eelnõu, millega lisatakse elektrituruseadusesse paindliku elektrivõrguga liitumise võimalus piirkondades, kus </w:t>
      </w:r>
      <w:r w:rsidRPr="00EA1C37">
        <w:lastRenderedPageBreak/>
        <w:t>võrgu võimsus uute ühenduste jaoks on piiratud ja võrgutasude metoodikale esitatavate nõuete täpsustus, mis peab looma võrguettevõtjale stiimulid paindlikkusteenuste kasutuselevõtuks. </w:t>
      </w:r>
    </w:p>
    <w:p w14:paraId="65E7079A" w14:textId="77777777" w:rsidR="00EA1C37" w:rsidRPr="00EA1C37" w:rsidRDefault="00EA1C37" w:rsidP="00EA1C37">
      <w:pPr>
        <w:jc w:val="both"/>
      </w:pPr>
      <w:r w:rsidRPr="00EA1C37">
        <w:t>Nimelt eelnõu punktiga 5 elektrituruseaduse paragrahvi 65 täiendatakse lõigetega 13 ja 14 järgmises sõnastuses:  </w:t>
      </w:r>
    </w:p>
    <w:p w14:paraId="6B1B793B" w14:textId="77777777" w:rsidR="00EA1C37" w:rsidRPr="00EA1C37" w:rsidRDefault="00EA1C37" w:rsidP="00EA1C37">
      <w:pPr>
        <w:jc w:val="both"/>
      </w:pPr>
      <w:r w:rsidRPr="00EA1C37">
        <w:t>„(13) Võrguettevõtja peab võimaldama paindlikku võrguga ühendamist tähtajalise lepinguga, mille alusel piiratakse ja kontrollitakse elektrienergia võrku andmist ja sealt selle võtmist, piirkondades, kus võrgu võimsus uute ühenduste jaoks on piiratud (edaspidi paindlik liitumine).  </w:t>
      </w:r>
    </w:p>
    <w:p w14:paraId="1806C7EB" w14:textId="77777777" w:rsidR="00EA1C37" w:rsidRPr="00EA1C37" w:rsidRDefault="00EA1C37" w:rsidP="00EA1C37">
      <w:pPr>
        <w:jc w:val="both"/>
      </w:pPr>
      <w:r w:rsidRPr="00EA1C37">
        <w:t>(14) Võrguettevõtja ei tohi käesoleva paragrahvi lõikes 13 nimetatud piirkonnas võrgutugevdustöid edasi lükata ning paindlik liitumine tuleb muuta püsikindlaks peale võrgutugevdustööde lõpetamist.“;  </w:t>
      </w:r>
    </w:p>
    <w:p w14:paraId="57304308" w14:textId="77777777" w:rsidR="00EA1C37" w:rsidRPr="00EA1C37" w:rsidRDefault="00EA1C37" w:rsidP="00EA1C37">
      <w:pPr>
        <w:jc w:val="both"/>
      </w:pPr>
      <w:r w:rsidRPr="00EA1C37">
        <w:t>6) paragrahvi 65 lõike 3 punkti 4 täiendatakse pärast sõna „edastamisvõimsus“ tekstiosaga „ja paindliku liitumise kokkulepet ei saavutatud“; </w:t>
      </w:r>
    </w:p>
    <w:p w14:paraId="718880BD" w14:textId="77777777" w:rsidR="00EA1C37" w:rsidRPr="00EA1C37" w:rsidRDefault="00EA1C37" w:rsidP="00EA1C37">
      <w:pPr>
        <w:jc w:val="both"/>
      </w:pPr>
      <w:r w:rsidRPr="00EA1C37">
        <w:t xml:space="preserve">Eelnõu seletuskiri märgib, et muudatustega kehtestatakse võrguettevõtjale nõue pakkuda oma teeninduspiirkonnas võimalust sõlmida paindliku liitumist. Piirkondades, kus elektrivõrgu võimsus on piiratud, peab võrguühendust taotleval võrgukasutajal olema võimalik sõlmida ilma püsikindluseta, paindlik liitumisleping. Kõnealune leping on tähtajaline ning peaks näiteks arvesse võtma energia salvestamist või piirama aega, mil elektrijaam saab võrku suunata elektrienergiat või -võimsust, mida on võimalik turule viia, võimaldades selle osalist kättesaadavaks tegemist. Paindliku liitumise lepingud võimaldavad võrguettevõtjal tavapäraselt võrgu tugevdamise plaanidega edasi liikuda. Paindlikud liitumised muudetakse püsikindlaks niipea, kui võrk on valmis. Alalise lahendusena võimaldatakse paindliku liitumise lepinguid piirkondades, kus võrgu tugevdamine ei ole tõhus, ning võrguühendust taotlevatele võrgukasutajatele antakse võimalikult selget teavet, mida kujutavad endast eeldatavad piirangud, mis paindliku liitumise lepingu puhul kehtivad. </w:t>
      </w:r>
      <w:r w:rsidRPr="00EA1C37">
        <w:rPr>
          <w:u w:val="single"/>
        </w:rPr>
        <w:t>Liitumise tüüptingimused koostab võrguettevõtja ning avaldab need oma veebilehel. </w:t>
      </w:r>
      <w:r w:rsidRPr="00EA1C37">
        <w:t> </w:t>
      </w:r>
    </w:p>
    <w:p w14:paraId="1CBFD603" w14:textId="77777777" w:rsidR="00EA1C37" w:rsidRPr="00EA1C37" w:rsidRDefault="00EA1C37" w:rsidP="00EA1C37">
      <w:pPr>
        <w:jc w:val="both"/>
      </w:pPr>
      <w:r w:rsidRPr="00EA1C37">
        <w:t>Punktiga 6 muudetakse § 65 lõike 3 punkti 4 sõnastust. Võrguettevõtjal on õigus keelduda võrguteenuse osutamisest, kui tema võrgus puudub võrguteenuse osutamiseks vajalik edastamisvõimsus. Paindliku liitumise nõude valguses tuleb kõnealuse punkti sõnastust täiendada ning lisada peale edastamisvõimsuse puudumise ka paindliku liitumise kokkuleppeni mittejõudmine. Vajaliku edastamisevõimsuse puudumine võib tähendada muuhulgas ka seda, et vastavas piirkonnas ei ole võimalik uusi liitujaid püsikindlalt võrguga ühendada, mistõttu on asjakohane kõnealuses piirkonnas paindliku liitumise võimaluse loomine. Punktiga 9 muudetakse § 70 lõike 8 sõnastust, mida täiendatakse nõudega anda teavet muu hulgas ka paindliku liitumise võimaluste kohta. Direktiivist lisanduv nõue loob kohustuse võrguettevõtjale anda muuhulgas infot ka paindliku ühenduse loomise võimalikkuse kohta ülekoormatud piirkondades, seda muidugi konfidentsiaalsuse nõuet silmas pidades. </w:t>
      </w:r>
    </w:p>
    <w:p w14:paraId="0681F49B" w14:textId="77777777" w:rsidR="00EA1C37" w:rsidRPr="00EA1C37" w:rsidRDefault="00EA1C37" w:rsidP="00EA1C37">
      <w:pPr>
        <w:jc w:val="both"/>
      </w:pPr>
      <w:r w:rsidRPr="00EA1C37">
        <w:t>Palume selgitada, millised on Eleringi seisukohad seoses paindliku liitumise regulatsiooniga ja kas seda täpsustatakse liitumise tüüptingimustes.  </w:t>
      </w:r>
    </w:p>
    <w:p w14:paraId="429184AC" w14:textId="77777777" w:rsidR="00EA1C37" w:rsidRPr="00EA1C37" w:rsidRDefault="00EA1C37" w:rsidP="00EA1C37">
      <w:pPr>
        <w:jc w:val="both"/>
        <w:rPr>
          <w:i/>
          <w:iCs/>
          <w:color w:val="00B050"/>
        </w:rPr>
      </w:pPr>
      <w:r w:rsidRPr="00EA1C37">
        <w:rPr>
          <w:i/>
          <w:iCs/>
          <w:color w:val="00B050"/>
        </w:rPr>
        <w:t>Eleringi vastus: </w:t>
      </w:r>
    </w:p>
    <w:p w14:paraId="639B9452" w14:textId="77777777" w:rsidR="00EA1C37" w:rsidRPr="00EA1C37" w:rsidRDefault="00EA1C37" w:rsidP="00EA1C37">
      <w:pPr>
        <w:jc w:val="both"/>
        <w:rPr>
          <w:i/>
          <w:iCs/>
          <w:color w:val="00B050"/>
        </w:rPr>
      </w:pPr>
      <w:r w:rsidRPr="00EA1C37">
        <w:rPr>
          <w:i/>
          <w:iCs/>
          <w:color w:val="00B050"/>
        </w:rPr>
        <w:t xml:space="preserve">Selgitame, et käesolevate tüüptingimuste raames ei ole arvesse võetud paindliku võimsuse tagamisega, sest hetkel koostatavate liitumistingimuste ajal Riigikogus menetluses oleva elektrituruseaduse muudatuse eelnõus (556SE) ei ole ette nähtud paindliku võimsuse tagamisega seotud õigussätteid. Eleringi hinnangul on eelnõu 556SE raames täidetud Euroopa Parlamendi ja nõukogu direktiivist (EL) 2024/1711 artiklis 6a nimetatud paindliku liitumisvõimsuse tagamisega seonduvad kohustused. Samuti on paindliku võimsuse eelnõu koostame alles algfaasis, mille kohta  Elering on esitanud omapoolse </w:t>
      </w:r>
      <w:r w:rsidRPr="00EA1C37">
        <w:rPr>
          <w:i/>
          <w:iCs/>
          <w:color w:val="00B050"/>
        </w:rPr>
        <w:lastRenderedPageBreak/>
        <w:t>hinnangu Kliimaministeeriumile. Täiendava info saamiseks palume pöörduda Kliimaministeeriumi poole. </w:t>
      </w:r>
    </w:p>
    <w:p w14:paraId="7C140180" w14:textId="77777777" w:rsidR="00EA1C37" w:rsidRDefault="00EA1C37" w:rsidP="00EA1C37">
      <w:pPr>
        <w:jc w:val="both"/>
      </w:pPr>
    </w:p>
    <w:p w14:paraId="1BB6B1AE" w14:textId="6EC7FD4D" w:rsidR="00EA1C37" w:rsidRPr="0045041E" w:rsidRDefault="00EA1C37" w:rsidP="00EA1C37">
      <w:pPr>
        <w:jc w:val="both"/>
        <w:rPr>
          <w:b/>
          <w:bCs/>
          <w:sz w:val="28"/>
          <w:szCs w:val="28"/>
          <w:highlight w:val="green"/>
          <w:u w:val="single"/>
        </w:rPr>
      </w:pPr>
      <w:r w:rsidRPr="0045041E">
        <w:rPr>
          <w:b/>
          <w:bCs/>
          <w:sz w:val="28"/>
          <w:szCs w:val="28"/>
          <w:highlight w:val="green"/>
          <w:u w:val="single"/>
        </w:rPr>
        <w:t>Turuosaline 3</w:t>
      </w:r>
      <w:r w:rsidR="00273F06">
        <w:rPr>
          <w:b/>
          <w:bCs/>
          <w:sz w:val="28"/>
          <w:szCs w:val="28"/>
          <w:highlight w:val="green"/>
          <w:u w:val="single"/>
        </w:rPr>
        <w:t xml:space="preserve"> </w:t>
      </w:r>
    </w:p>
    <w:p w14:paraId="48929265" w14:textId="0D579A05" w:rsidR="0045041E" w:rsidRPr="0045041E" w:rsidRDefault="0045041E" w:rsidP="0045041E">
      <w:pPr>
        <w:pStyle w:val="ListParagraph"/>
        <w:numPr>
          <w:ilvl w:val="0"/>
          <w:numId w:val="6"/>
        </w:numPr>
        <w:jc w:val="both"/>
        <w:rPr>
          <w:b/>
          <w:bCs/>
        </w:rPr>
      </w:pPr>
      <w:r w:rsidRPr="0045041E">
        <w:rPr>
          <w:b/>
          <w:bCs/>
        </w:rPr>
        <w:t>Kordushanke läbiviimine</w:t>
      </w:r>
    </w:p>
    <w:p w14:paraId="1DD96CE0" w14:textId="0F0EDF20" w:rsidR="0045041E" w:rsidRPr="0045041E" w:rsidRDefault="0045041E" w:rsidP="0045041E">
      <w:pPr>
        <w:jc w:val="both"/>
      </w:pPr>
      <w:r w:rsidRPr="0045041E">
        <w:t>Oluline on märkida, et liitumislepingu tüüpvormi p 2.7 on ette nähtud kordushanke läbiviimise võimalus kui pakkumus ületab prognoosi vähemalt 2 korda. Selline maksumuse ületamine on arendajatele märkimisväärse mõjuga ning selline arendusrisk ei ole turul tavapärane ega vastuvõetav. Teeme ettepaneku, et kordushanke nõudmise õigus tekib kui maksumust ületatakse prognoosi kohaselt vähemalt 30% võrra. </w:t>
      </w:r>
    </w:p>
    <w:p w14:paraId="3932832D" w14:textId="77777777" w:rsidR="0045041E" w:rsidRPr="0045041E" w:rsidRDefault="0045041E" w:rsidP="0045041E">
      <w:pPr>
        <w:jc w:val="both"/>
        <w:rPr>
          <w:i/>
          <w:iCs/>
          <w:color w:val="00B050"/>
        </w:rPr>
      </w:pPr>
      <w:r w:rsidRPr="0045041E">
        <w:rPr>
          <w:i/>
          <w:iCs/>
          <w:color w:val="00B050"/>
        </w:rPr>
        <w:t>Eleringi vastus: </w:t>
      </w:r>
    </w:p>
    <w:p w14:paraId="61DF18DB" w14:textId="77777777" w:rsidR="0045041E" w:rsidRPr="0045041E" w:rsidRDefault="0045041E" w:rsidP="0045041E">
      <w:pPr>
        <w:jc w:val="both"/>
        <w:rPr>
          <w:i/>
          <w:iCs/>
          <w:color w:val="00B050"/>
        </w:rPr>
      </w:pPr>
      <w:r w:rsidRPr="0045041E">
        <w:rPr>
          <w:i/>
          <w:iCs/>
          <w:color w:val="00B050"/>
        </w:rPr>
        <w:t>Täname esitatud märkuse eest. Nõustume esitatud ettepanekuga ning Elering jätab liitumistingimustes kliendile õiguse nõuda kulupõhise komponendi ehitamiseks kordushanget juhul, kui hankelepingu maksumus ületab esialgset prognoosi vähemalt 50 protsendi ulatuses.  </w:t>
      </w:r>
    </w:p>
    <w:p w14:paraId="2AB73EE7" w14:textId="643BD127" w:rsidR="0045041E" w:rsidRPr="0045041E" w:rsidRDefault="0045041E" w:rsidP="0045041E">
      <w:pPr>
        <w:pStyle w:val="ListParagraph"/>
        <w:numPr>
          <w:ilvl w:val="0"/>
          <w:numId w:val="6"/>
        </w:numPr>
        <w:jc w:val="both"/>
        <w:rPr>
          <w:b/>
          <w:bCs/>
        </w:rPr>
      </w:pPr>
      <w:r w:rsidRPr="0045041E">
        <w:rPr>
          <w:b/>
          <w:bCs/>
        </w:rPr>
        <w:t>Liitumistasu tagastamine</w:t>
      </w:r>
    </w:p>
    <w:p w14:paraId="3ABFC625" w14:textId="55AEB735" w:rsidR="0045041E" w:rsidRPr="0045041E" w:rsidRDefault="0045041E" w:rsidP="0045041E">
      <w:pPr>
        <w:jc w:val="both"/>
      </w:pPr>
      <w:r w:rsidRPr="0045041E">
        <w:t>Lisaks liitumislepingu tüüpvormi p 3.8 on sätestatud, et enammakstud liitumistasu tagastatakse kulupõhise liitumise korral. Soovime ettepaneku teha sarnase põhimõtte rakendamiseks ka fikseeritud liitumise korral, et kui leping lõpetatakse enne liitumislepingu täitmist tagastatakse liitujale see liitumistasu osa, mille osas Elering ei ole tõendatuid kulusid teinud. Kui liituja otsustab lepingust taganeda, peaks tal olema õigus saada tagasi need kulud, mida Elering pole reaalselt teinud. Praegu ei ole võimalik raha tagasi saada, kuid õiglane oleks hüvitada summad, mis ei kata Eleringile tegelikult tekkinud kulusid. Kui Elering suudab tõendada, et on liitumiseks vajalikud võrgutööd teinud, siis selles osas tagasimaksmise kohustust ei teki. </w:t>
      </w:r>
    </w:p>
    <w:p w14:paraId="1A4B70ED" w14:textId="77777777" w:rsidR="0045041E" w:rsidRPr="0045041E" w:rsidRDefault="0045041E" w:rsidP="0045041E">
      <w:pPr>
        <w:jc w:val="both"/>
        <w:rPr>
          <w:i/>
          <w:iCs/>
          <w:color w:val="00B050"/>
        </w:rPr>
      </w:pPr>
      <w:r w:rsidRPr="0045041E">
        <w:rPr>
          <w:i/>
          <w:iCs/>
          <w:color w:val="00B050"/>
        </w:rPr>
        <w:t>Eleringi vastus: </w:t>
      </w:r>
    </w:p>
    <w:p w14:paraId="5B380252" w14:textId="77777777" w:rsidR="0045041E" w:rsidRPr="0045041E" w:rsidRDefault="0045041E" w:rsidP="0045041E">
      <w:pPr>
        <w:jc w:val="both"/>
        <w:rPr>
          <w:i/>
          <w:iCs/>
          <w:color w:val="00B050"/>
        </w:rPr>
      </w:pPr>
      <w:r w:rsidRPr="0045041E">
        <w:rPr>
          <w:i/>
          <w:iCs/>
          <w:color w:val="00B050"/>
        </w:rPr>
        <w:t>Selgitame, et Elering peab liitumistasu tagastamisel lähtuma määruses elektrituru toimise võrgueeskirjas (ESTVE) muudatustest, milles on ette nähtud liitumistasu tagastamine ainult juhul, kui liitumistasu kulupõhise komponendi hankelepingu maksumus ületab üle kahe korra esialgset prognoosi. Elering ei saa liitumistingimustes kehtestada regulatsiooni, mis on määrusega vastuolus. Seega on fikseeritud liitumistasu tagastamine võimalik juhul, kui kliendi liitumislepingus sisaldub kulupõhine liitumistasu komponent, liitumislepingu punkti 7.7. alusel “Klient võib liitumislepingu üles öelda või sellest taganeda juhul, kui liitumise käigus selguv kulupõhise liitumistasu komponendi tegelik suurus osutub üle kahe korra kallimaks võrreldes algselt liitumislepingus prognoositud kulupõhise liitumistasuga. Sellisel juhul tagastab põhivõrguettevõtja kliendile võrgutugevdus-, võrguühendustasu ja kulupõhise liitumistasu vastavalt lepingu punktile 7.10.“ </w:t>
      </w:r>
    </w:p>
    <w:p w14:paraId="0EBDF5E8" w14:textId="77777777" w:rsidR="0045041E" w:rsidRPr="0045041E" w:rsidRDefault="0045041E" w:rsidP="0045041E">
      <w:pPr>
        <w:jc w:val="both"/>
        <w:rPr>
          <w:i/>
          <w:iCs/>
          <w:color w:val="00B050"/>
        </w:rPr>
      </w:pPr>
      <w:r w:rsidRPr="0045041E">
        <w:rPr>
          <w:i/>
          <w:iCs/>
          <w:color w:val="00B050"/>
        </w:rPr>
        <w:t>Täiendavalt märgime, et hinnakirjapõhise liitumistasu kehtestamise eesmärk on tagada klientidele hinnakindlus. Seega juhul, kui liitumisprotsessi vältel osutuvad hinnakirjapõhiste komponentide tegelik maksumus kehtestatud hinnakirjast suuremaks, siis kliendi liitumistasu ei muudeta. Sama põhimõte kehtib ka olukorras, kus tegelikud kulud osutuvad väiksemaks.  </w:t>
      </w:r>
    </w:p>
    <w:p w14:paraId="288F9143" w14:textId="77777777" w:rsidR="0045041E" w:rsidRPr="0045041E" w:rsidRDefault="0045041E" w:rsidP="0045041E">
      <w:pPr>
        <w:jc w:val="both"/>
        <w:rPr>
          <w:i/>
          <w:iCs/>
          <w:color w:val="00B050"/>
        </w:rPr>
      </w:pPr>
      <w:r w:rsidRPr="0045041E">
        <w:rPr>
          <w:i/>
          <w:iCs/>
          <w:color w:val="00B050"/>
        </w:rPr>
        <w:t xml:space="preserve">Samuti märgime, et hinnakirjapõhise liitumistasu kehtestamine on eelduseks hetkel kehtiva elektrituruseaduses sätestatud tagatiskohustuse kehtetuks tunnistamiseks. Seega hakkab hinnakirjapõhine liitumistasu osaliselt asendama elektrivõrgu ressurssi broneerimise välistamise </w:t>
      </w:r>
      <w:r w:rsidRPr="0045041E">
        <w:rPr>
          <w:i/>
          <w:iCs/>
          <w:color w:val="00B050"/>
        </w:rPr>
        <w:lastRenderedPageBreak/>
        <w:t>funktsiooni tagatiskohustuse asemel. Sellest tulenevalt ei ole ka määruse alusel ette nähtud hinnakirjapõhise liitumistasu tagastamise muul alusel (sh liitumislepingu lõppemisel enne selle täitmist Eleringi poolt), kui kulupõhise komponendi kallinemisel üle kahe korra.  </w:t>
      </w:r>
    </w:p>
    <w:p w14:paraId="483AD641" w14:textId="19C9E9CD" w:rsidR="0045041E" w:rsidRPr="0045041E" w:rsidRDefault="0045041E" w:rsidP="0045041E">
      <w:pPr>
        <w:pStyle w:val="ListParagraph"/>
        <w:numPr>
          <w:ilvl w:val="0"/>
          <w:numId w:val="6"/>
        </w:numPr>
        <w:jc w:val="both"/>
        <w:rPr>
          <w:b/>
          <w:bCs/>
        </w:rPr>
      </w:pPr>
      <w:r w:rsidRPr="0045041E">
        <w:rPr>
          <w:b/>
          <w:bCs/>
        </w:rPr>
        <w:t>Mitte kasutusele võetud liitumispunkti tagasiostmine Eleringi poolt</w:t>
      </w:r>
    </w:p>
    <w:p w14:paraId="26C471DC" w14:textId="3ED9E534" w:rsidR="0045041E" w:rsidRPr="0045041E" w:rsidRDefault="0045041E" w:rsidP="0045041E">
      <w:pPr>
        <w:jc w:val="both"/>
      </w:pPr>
      <w:r w:rsidRPr="0045041E">
        <w:t>Teeme ettepaneku lisada tüüptingimustesse punkt, mille kohaselt on Eleringil õigus osta Poolte kokkuleppel liitujalt tagasi väljaehitamisel ja/või väljaehitatud, kuid mitte kasutusele võetud liitumispunkt fikseeritud hinnakirja alusel. Selline lähenemine võimaldaks efektiivselt vabastada võrguressurssi piirkondades, kus taastuvenergia arendamine on muutunud liituja vaates ebaotstarbekas  ning pakkuda väljaehitatud taristut teistele huvitatud turuosalistele, kellel on seeläbi võimalus võtta liitumispunkt koheselt kasutusele ning lühendada oluliselt võrguühenduse väljaehitamiseks kuluvat aega. </w:t>
      </w:r>
    </w:p>
    <w:p w14:paraId="0DB299B2" w14:textId="77777777" w:rsidR="0045041E" w:rsidRPr="0045041E" w:rsidRDefault="0045041E" w:rsidP="0045041E">
      <w:pPr>
        <w:jc w:val="both"/>
        <w:rPr>
          <w:i/>
          <w:iCs/>
          <w:color w:val="00B050"/>
        </w:rPr>
      </w:pPr>
      <w:r w:rsidRPr="0045041E">
        <w:rPr>
          <w:i/>
          <w:iCs/>
          <w:color w:val="00B050"/>
        </w:rPr>
        <w:t>Eleringi vastus: </w:t>
      </w:r>
    </w:p>
    <w:p w14:paraId="17BF0CBF" w14:textId="08A71288" w:rsidR="0045041E" w:rsidRPr="0045041E" w:rsidRDefault="0045041E" w:rsidP="0045041E">
      <w:pPr>
        <w:jc w:val="both"/>
        <w:rPr>
          <w:i/>
          <w:iCs/>
          <w:color w:val="00B050"/>
        </w:rPr>
      </w:pPr>
      <w:r w:rsidRPr="0045041E">
        <w:rPr>
          <w:i/>
          <w:iCs/>
          <w:color w:val="00B050"/>
        </w:rPr>
        <w:t>Elering ei saa esitatud ettepanekuga nõustuda. Selgitame, et liitumistasu eest rajatavad elektripaigaldised kuuluvad Eleringi omandisse, mille hoolduskulud ja muud töökindluse tagamisega seonduvad kulud kannab omanik. Sellest tulenevalt ei saa</w:t>
      </w:r>
      <w:r>
        <w:rPr>
          <w:i/>
          <w:iCs/>
          <w:color w:val="00B050"/>
        </w:rPr>
        <w:t xml:space="preserve"> Elering</w:t>
      </w:r>
      <w:r w:rsidRPr="0045041E">
        <w:rPr>
          <w:i/>
          <w:iCs/>
          <w:color w:val="00B050"/>
        </w:rPr>
        <w:t xml:space="preserve"> osta seadmeid, mis juba kuuluvad Eleringi omandisse.  </w:t>
      </w:r>
    </w:p>
    <w:p w14:paraId="47FED52D" w14:textId="54399440" w:rsidR="0045041E" w:rsidRPr="0045041E" w:rsidRDefault="0045041E" w:rsidP="0045041E">
      <w:pPr>
        <w:jc w:val="both"/>
        <w:rPr>
          <w:i/>
          <w:iCs/>
          <w:color w:val="00B050"/>
        </w:rPr>
      </w:pPr>
      <w:r w:rsidRPr="0045041E">
        <w:rPr>
          <w:i/>
          <w:iCs/>
          <w:color w:val="00B050"/>
        </w:rPr>
        <w:t>Samuti märgime, et klientidel on võimalik liitumislepingust tulenevate kohustuste ja õiguste üleandmiseks sõlmida liitumislepingu üleandmise kokkulepe. Seega on Eelringi hinnangul juba võimaldatud väljaehitatud/väljaehitamisel liitumispunktide kasutusele võtmine teiste turuosaliste poolt. </w:t>
      </w:r>
    </w:p>
    <w:p w14:paraId="040A1B93" w14:textId="77777777" w:rsidR="00EA1C37" w:rsidRDefault="00EA1C37" w:rsidP="00EA1C37">
      <w:pPr>
        <w:jc w:val="both"/>
      </w:pPr>
    </w:p>
    <w:p w14:paraId="6F3D1063" w14:textId="3A7998C6" w:rsidR="00EA1C37" w:rsidRPr="0045041E" w:rsidRDefault="00EA1C37" w:rsidP="00EA1C37">
      <w:pPr>
        <w:jc w:val="both"/>
        <w:rPr>
          <w:b/>
          <w:bCs/>
          <w:sz w:val="28"/>
          <w:szCs w:val="28"/>
          <w:highlight w:val="green"/>
          <w:u w:val="single"/>
        </w:rPr>
      </w:pPr>
      <w:r w:rsidRPr="0045041E">
        <w:rPr>
          <w:b/>
          <w:bCs/>
          <w:sz w:val="28"/>
          <w:szCs w:val="28"/>
          <w:highlight w:val="green"/>
          <w:u w:val="single"/>
        </w:rPr>
        <w:t>Turuosaline 4</w:t>
      </w:r>
      <w:r w:rsidR="00273F06">
        <w:rPr>
          <w:b/>
          <w:bCs/>
          <w:sz w:val="28"/>
          <w:szCs w:val="28"/>
          <w:highlight w:val="green"/>
          <w:u w:val="single"/>
        </w:rPr>
        <w:t xml:space="preserve"> </w:t>
      </w:r>
    </w:p>
    <w:p w14:paraId="7D3F89FB" w14:textId="77777777" w:rsidR="0045041E" w:rsidRPr="0045041E" w:rsidRDefault="0045041E" w:rsidP="0045041E">
      <w:pPr>
        <w:numPr>
          <w:ilvl w:val="0"/>
          <w:numId w:val="7"/>
        </w:numPr>
        <w:jc w:val="both"/>
        <w:rPr>
          <w:b/>
          <w:bCs/>
        </w:rPr>
      </w:pPr>
      <w:r w:rsidRPr="0045041E">
        <w:rPr>
          <w:b/>
          <w:bCs/>
        </w:rPr>
        <w:t>Liitumispunkti valmimise tähtaeg olemasoleva võrguga liitumisel  </w:t>
      </w:r>
    </w:p>
    <w:p w14:paraId="099D69E2" w14:textId="77777777" w:rsidR="0045041E" w:rsidRPr="0045041E" w:rsidRDefault="0045041E" w:rsidP="0045041E">
      <w:pPr>
        <w:jc w:val="both"/>
      </w:pPr>
      <w:r w:rsidRPr="0045041E">
        <w:t xml:space="preserve">Riigikogu menetluses oleva elektrituru seaduse muutmise seaduse eelnõu 556 seletuskirja lk 18 on toodud: „Kui praegu on võimalik taastuvelektritootmisvõimsust põhivõrgus kasutusele võtta 36–48 kuu möödudes I osamakse tasumisest, siis </w:t>
      </w:r>
      <w:bookmarkStart w:id="0" w:name="_Hlk195085962"/>
      <w:r w:rsidRPr="0045041E">
        <w:t>arenduskohustuse ulatuse laiendamise järel on võimalik taastuvenergia arendajal põhivõrku elektrienergiat toota juba 18–24 kuu möödudes I osamakse tasumisest, sest võrgutugevdusi ehitatakse ettevaatavalt</w:t>
      </w:r>
      <w:bookmarkEnd w:id="0"/>
      <w:r w:rsidRPr="0045041E">
        <w:t xml:space="preserve">, tuginedes planeeritud ja Konkurentsiametile esitatud arengukavale ja investeeringuprojektide ajakavale. Seega lüheneb liitumisprotsess põhivõrku kuni kolme aasta võrra.“ Paraku ei kajastu see kiirendatud liitumispunkti valmimise lubadus praegu üheski siduvas dokumendis. See ei anna õiguskindlust liitumispunkti rajamise kiiruse osas, mis on vajalik investeerimisotsuste kujundamisel, sest määratlus, et liitumispunkti valmimise tähtaeg näidatakse ära liitumispakkumises, tekitab ebakindlust kavandatava investeeringu realiseerimise kiiruse osas. Et selline senisest praktikast lühem liitumuspunkti valmimise praktika ka kindlust andva lubadusena sätestada, teeme ettepaneku täiendada tüüptingimuste punkti 2.2.1.5 </w:t>
      </w:r>
      <w:proofErr w:type="spellStart"/>
      <w:r w:rsidRPr="0045041E">
        <w:t>allajoonitud</w:t>
      </w:r>
      <w:proofErr w:type="spellEnd"/>
      <w:r w:rsidRPr="0045041E">
        <w:t xml:space="preserve"> sõnastusega:  </w:t>
      </w:r>
    </w:p>
    <w:p w14:paraId="76F3B4C7" w14:textId="77777777" w:rsidR="0045041E" w:rsidRPr="0045041E" w:rsidRDefault="0045041E" w:rsidP="0045041E">
      <w:pPr>
        <w:jc w:val="both"/>
      </w:pPr>
      <w:r w:rsidRPr="0045041E">
        <w:rPr>
          <w:i/>
          <w:iCs/>
        </w:rPr>
        <w:t>uue võrguühenduse loomise või tarbimis- või tootmistingimuste muutmise tingimusi, sealhulgas tähtaega</w:t>
      </w:r>
      <w:r w:rsidRPr="0045041E">
        <w:rPr>
          <w:i/>
          <w:iCs/>
          <w:u w:val="single"/>
        </w:rPr>
        <w:t>, mis fikseeritud liitumistasuga liitumislepingu puhul ei ole pikem kui 24 kuud fikseeritud liitumistasu osamakse tasumisest</w:t>
      </w:r>
      <w:r w:rsidRPr="0045041E">
        <w:rPr>
          <w:i/>
          <w:iCs/>
        </w:rPr>
        <w:t>, ja muid tingimusi </w:t>
      </w:r>
      <w:r w:rsidRPr="0045041E">
        <w:t> </w:t>
      </w:r>
    </w:p>
    <w:p w14:paraId="7E6B208A" w14:textId="77777777" w:rsidR="0045041E" w:rsidRPr="0045041E" w:rsidRDefault="0045041E" w:rsidP="0045041E">
      <w:pPr>
        <w:jc w:val="both"/>
        <w:rPr>
          <w:i/>
          <w:iCs/>
          <w:color w:val="00B050"/>
        </w:rPr>
      </w:pPr>
      <w:r w:rsidRPr="0045041E">
        <w:rPr>
          <w:i/>
          <w:iCs/>
          <w:color w:val="00B050"/>
        </w:rPr>
        <w:t>Eleringi vastus: </w:t>
      </w:r>
    </w:p>
    <w:p w14:paraId="6ECC3DD9" w14:textId="117C6DC8" w:rsidR="0045041E" w:rsidRPr="0045041E" w:rsidRDefault="0045041E" w:rsidP="0045041E">
      <w:pPr>
        <w:jc w:val="both"/>
        <w:rPr>
          <w:i/>
          <w:iCs/>
          <w:color w:val="00B050"/>
        </w:rPr>
      </w:pPr>
      <w:r w:rsidRPr="0045041E">
        <w:rPr>
          <w:i/>
          <w:iCs/>
          <w:color w:val="00B050"/>
        </w:rPr>
        <w:lastRenderedPageBreak/>
        <w:t xml:space="preserve">Selgitame, et Elering ei saa liitumise tüüptingimustes kehtestada liitumislepingu täitmise tähtaega kuude arvus vaid põhimõtteid, millest lähtuvalt liitumislepingu tähtaeg määratletakse. </w:t>
      </w:r>
      <w:bookmarkStart w:id="1" w:name="_Hlk195086042"/>
      <w:r w:rsidRPr="0045041E">
        <w:rPr>
          <w:i/>
          <w:iCs/>
          <w:color w:val="00B050"/>
        </w:rPr>
        <w:t>Seletuskirjas viidatud 18 – 24 kuud on</w:t>
      </w:r>
      <w:r w:rsidR="00000DCA">
        <w:rPr>
          <w:i/>
          <w:iCs/>
          <w:color w:val="00B050"/>
        </w:rPr>
        <w:t xml:space="preserve"> tegemist</w:t>
      </w:r>
      <w:r w:rsidRPr="0045041E">
        <w:rPr>
          <w:i/>
          <w:iCs/>
          <w:color w:val="00B050"/>
        </w:rPr>
        <w:t xml:space="preserve"> seletuskirja koostamise hetkel keskmise liitumislahtri ehitamise ajakuluga 110 </w:t>
      </w:r>
      <w:proofErr w:type="spellStart"/>
      <w:r w:rsidRPr="0045041E">
        <w:rPr>
          <w:i/>
          <w:iCs/>
          <w:color w:val="00B050"/>
        </w:rPr>
        <w:t>kV</w:t>
      </w:r>
      <w:proofErr w:type="spellEnd"/>
      <w:r w:rsidRPr="0045041E">
        <w:rPr>
          <w:i/>
          <w:iCs/>
          <w:color w:val="00B050"/>
        </w:rPr>
        <w:t xml:space="preserve"> pingel. Olemasolevas alajaamas uue liitumislahtri ehitamise või uue alajaama ehitamise ajakulu sõltub tehnilisest lahendusest (sh olemasoleva alajaama tehnilisest olukorrast), ehitusturul pakkujate arvust ning võrguühenduse rajamiseks vajalike seadmete tarneaegadest, mida Elering mõjutada ei saa. Sellest lähtuvalt ei saa Elering võtta tüüptingimustega kohustuse igas olukorras tagada hiljemalt 24 kuu jooksul liitumislepingu täitmist (liitumispunkti või uue alajaama valmimist), sõltumata võrguühenduse tehnilisest lahenduses ja tööde mahust.</w:t>
      </w:r>
      <w:bookmarkEnd w:id="1"/>
      <w:r w:rsidRPr="0045041E">
        <w:rPr>
          <w:i/>
          <w:iCs/>
          <w:color w:val="00B050"/>
        </w:rPr>
        <w:t>   </w:t>
      </w:r>
    </w:p>
    <w:p w14:paraId="2C6DA771" w14:textId="77777777" w:rsidR="0045041E" w:rsidRPr="0045041E" w:rsidRDefault="0045041E" w:rsidP="0045041E">
      <w:pPr>
        <w:jc w:val="both"/>
      </w:pPr>
      <w:r w:rsidRPr="0045041E">
        <w:t> </w:t>
      </w:r>
    </w:p>
    <w:p w14:paraId="05BD6C67" w14:textId="77777777" w:rsidR="0045041E" w:rsidRPr="0045041E" w:rsidRDefault="0045041E" w:rsidP="0045041E">
      <w:pPr>
        <w:numPr>
          <w:ilvl w:val="0"/>
          <w:numId w:val="8"/>
        </w:numPr>
        <w:jc w:val="both"/>
        <w:rPr>
          <w:b/>
          <w:bCs/>
        </w:rPr>
      </w:pPr>
      <w:r w:rsidRPr="0045041E">
        <w:rPr>
          <w:b/>
          <w:bCs/>
        </w:rPr>
        <w:t>Liitumistasu komponentide täpsustus  </w:t>
      </w:r>
    </w:p>
    <w:p w14:paraId="4EF4506F" w14:textId="77777777" w:rsidR="0045041E" w:rsidRPr="0045041E" w:rsidRDefault="0045041E" w:rsidP="0045041E">
      <w:pPr>
        <w:jc w:val="both"/>
      </w:pPr>
      <w:r w:rsidRPr="0045041E">
        <w:t xml:space="preserve">Tüüptingimuste punktis 2.3.1 on esitatud liitumistasu võimalikud komponendid, mille hulgas on liitumistasu komponendina kajastatud vaid kulupõhist liitumistasu, täpsustamata, et see on asjakohane vaid väljapoole olemasolevat põhivõrku liitumisel. Seepärast teeme ettepaneku täiendada tüüptingimuste punkti 2.3.1.1 </w:t>
      </w:r>
      <w:proofErr w:type="spellStart"/>
      <w:r w:rsidRPr="0045041E">
        <w:t>allajoonitud</w:t>
      </w:r>
      <w:proofErr w:type="spellEnd"/>
      <w:r w:rsidRPr="0045041E">
        <w:t xml:space="preserve"> sõnastusega:  </w:t>
      </w:r>
    </w:p>
    <w:p w14:paraId="0DBE81D4" w14:textId="77777777" w:rsidR="0045041E" w:rsidRPr="0045041E" w:rsidRDefault="0045041E" w:rsidP="0045041E">
      <w:pPr>
        <w:jc w:val="both"/>
      </w:pPr>
      <w:r w:rsidRPr="0045041E">
        <w:rPr>
          <w:i/>
          <w:iCs/>
          <w:u w:val="single"/>
        </w:rPr>
        <w:t>olemasoleva põhivõrguga liitumisel fikseeritud liitumistasu; väljapoole olemasolevat põhivõrku liitumisel</w:t>
      </w:r>
      <w:r w:rsidRPr="0045041E">
        <w:rPr>
          <w:i/>
          <w:iCs/>
        </w:rPr>
        <w:t xml:space="preserve"> liitumistasu, mis põhineb tegelikel kuludel (edaspidi ka: kulupõhine liitumistasu) ja see on 2 eelkõige uue põhivõrgu ülekandeliini ehitustööde ja seonduvate tööde kulupõhine maksumus;</w:t>
      </w:r>
      <w:r w:rsidRPr="0045041E">
        <w:t>  </w:t>
      </w:r>
    </w:p>
    <w:p w14:paraId="60874AC6" w14:textId="77777777" w:rsidR="0045041E" w:rsidRPr="0045041E" w:rsidRDefault="0045041E" w:rsidP="0045041E">
      <w:pPr>
        <w:jc w:val="both"/>
        <w:rPr>
          <w:i/>
          <w:iCs/>
          <w:color w:val="00B050"/>
        </w:rPr>
      </w:pPr>
      <w:r w:rsidRPr="0045041E">
        <w:rPr>
          <w:i/>
          <w:iCs/>
          <w:color w:val="00B050"/>
        </w:rPr>
        <w:t>Eleringi vastus: </w:t>
      </w:r>
    </w:p>
    <w:p w14:paraId="414C86F0" w14:textId="77777777" w:rsidR="0045041E" w:rsidRPr="0045041E" w:rsidRDefault="0045041E" w:rsidP="0045041E">
      <w:pPr>
        <w:jc w:val="both"/>
        <w:rPr>
          <w:i/>
          <w:iCs/>
          <w:color w:val="00B050"/>
        </w:rPr>
      </w:pPr>
      <w:r w:rsidRPr="0045041E">
        <w:rPr>
          <w:i/>
          <w:iCs/>
          <w:color w:val="00B050"/>
        </w:rPr>
        <w:t>Selgitame, et kulupõhine komponent võib sisalduda liitumistasu koosseisus ka olemasolevas põhivõrgus liitumisel juhul, kui klient soovib tarbimiskohas rikkest põhjustatud katkestuse kõrvaldamist kahe tunni jooksul (varustuskindluse suurendamise tasu), siis võib selle võimaldamiseks olla vajalik ehitada olemasoleva alajaama elektritoite tagamiseks täiendav elektriliin. Seega ei saa Elering kitsendada kulupõhist komponenti ainult mitte väljaspool olemasoleva põhivõrguga liitumisele. </w:t>
      </w:r>
    </w:p>
    <w:p w14:paraId="745E58A1" w14:textId="77777777" w:rsidR="0045041E" w:rsidRPr="00EA1C37" w:rsidRDefault="0045041E" w:rsidP="00EA1C37">
      <w:pPr>
        <w:jc w:val="both"/>
      </w:pPr>
    </w:p>
    <w:sectPr w:rsidR="0045041E" w:rsidRPr="00EA1C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AE0C" w14:textId="77777777" w:rsidR="00822A96" w:rsidRDefault="00822A96" w:rsidP="00C144D7">
      <w:pPr>
        <w:spacing w:after="0" w:line="240" w:lineRule="auto"/>
      </w:pPr>
      <w:r>
        <w:separator/>
      </w:r>
    </w:p>
  </w:endnote>
  <w:endnote w:type="continuationSeparator" w:id="0">
    <w:p w14:paraId="1B1C9D7A" w14:textId="77777777" w:rsidR="00822A96" w:rsidRDefault="00822A96" w:rsidP="00C14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98E3D" w14:textId="77777777" w:rsidR="00822A96" w:rsidRDefault="00822A96" w:rsidP="00C144D7">
      <w:pPr>
        <w:spacing w:after="0" w:line="240" w:lineRule="auto"/>
      </w:pPr>
      <w:r>
        <w:separator/>
      </w:r>
    </w:p>
  </w:footnote>
  <w:footnote w:type="continuationSeparator" w:id="0">
    <w:p w14:paraId="280ADE19" w14:textId="77777777" w:rsidR="00822A96" w:rsidRDefault="00822A96" w:rsidP="00C14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20F"/>
    <w:multiLevelType w:val="hybridMultilevel"/>
    <w:tmpl w:val="7466CDCE"/>
    <w:lvl w:ilvl="0" w:tplc="13C6E91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5A3092D"/>
    <w:multiLevelType w:val="hybridMultilevel"/>
    <w:tmpl w:val="8D2A1CC4"/>
    <w:lvl w:ilvl="0" w:tplc="042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7237B7"/>
    <w:multiLevelType w:val="multilevel"/>
    <w:tmpl w:val="5F0A6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3442D1"/>
    <w:multiLevelType w:val="hybridMultilevel"/>
    <w:tmpl w:val="7C1A6610"/>
    <w:lvl w:ilvl="0" w:tplc="F92CAC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7A6A0CA6"/>
    <w:multiLevelType w:val="hybridMultilevel"/>
    <w:tmpl w:val="E5AC903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E2F3302"/>
    <w:multiLevelType w:val="multilevel"/>
    <w:tmpl w:val="2F564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A2CA4C"/>
    <w:multiLevelType w:val="hybridMultilevel"/>
    <w:tmpl w:val="CA70E982"/>
    <w:lvl w:ilvl="0" w:tplc="A0EAAB88">
      <w:start w:val="1"/>
      <w:numFmt w:val="decimal"/>
      <w:lvlText w:val="%1."/>
      <w:lvlJc w:val="left"/>
      <w:pPr>
        <w:ind w:left="720" w:hanging="360"/>
      </w:pPr>
    </w:lvl>
    <w:lvl w:ilvl="1" w:tplc="02F823DA">
      <w:start w:val="1"/>
      <w:numFmt w:val="lowerLetter"/>
      <w:lvlText w:val="%2."/>
      <w:lvlJc w:val="left"/>
      <w:pPr>
        <w:ind w:left="1440" w:hanging="360"/>
      </w:pPr>
    </w:lvl>
    <w:lvl w:ilvl="2" w:tplc="A7FAB26E">
      <w:start w:val="1"/>
      <w:numFmt w:val="lowerRoman"/>
      <w:lvlText w:val="%3."/>
      <w:lvlJc w:val="right"/>
      <w:pPr>
        <w:ind w:left="2160" w:hanging="180"/>
      </w:pPr>
    </w:lvl>
    <w:lvl w:ilvl="3" w:tplc="C9507676">
      <w:start w:val="1"/>
      <w:numFmt w:val="decimal"/>
      <w:lvlText w:val="%4."/>
      <w:lvlJc w:val="left"/>
      <w:pPr>
        <w:ind w:left="2880" w:hanging="360"/>
      </w:pPr>
    </w:lvl>
    <w:lvl w:ilvl="4" w:tplc="110ECA66">
      <w:start w:val="1"/>
      <w:numFmt w:val="lowerLetter"/>
      <w:lvlText w:val="%5."/>
      <w:lvlJc w:val="left"/>
      <w:pPr>
        <w:ind w:left="3600" w:hanging="360"/>
      </w:pPr>
    </w:lvl>
    <w:lvl w:ilvl="5" w:tplc="4CF4C28A">
      <w:start w:val="1"/>
      <w:numFmt w:val="lowerRoman"/>
      <w:lvlText w:val="%6."/>
      <w:lvlJc w:val="right"/>
      <w:pPr>
        <w:ind w:left="4320" w:hanging="180"/>
      </w:pPr>
    </w:lvl>
    <w:lvl w:ilvl="6" w:tplc="9B9058FC">
      <w:start w:val="1"/>
      <w:numFmt w:val="decimal"/>
      <w:lvlText w:val="%7."/>
      <w:lvlJc w:val="left"/>
      <w:pPr>
        <w:ind w:left="5040" w:hanging="360"/>
      </w:pPr>
    </w:lvl>
    <w:lvl w:ilvl="7" w:tplc="17964BB0">
      <w:start w:val="1"/>
      <w:numFmt w:val="lowerLetter"/>
      <w:lvlText w:val="%8."/>
      <w:lvlJc w:val="left"/>
      <w:pPr>
        <w:ind w:left="5760" w:hanging="360"/>
      </w:pPr>
    </w:lvl>
    <w:lvl w:ilvl="8" w:tplc="173A59D2">
      <w:start w:val="1"/>
      <w:numFmt w:val="lowerRoman"/>
      <w:lvlText w:val="%9."/>
      <w:lvlJc w:val="right"/>
      <w:pPr>
        <w:ind w:left="6480" w:hanging="180"/>
      </w:pPr>
    </w:lvl>
  </w:abstractNum>
  <w:abstractNum w:abstractNumId="7" w15:restartNumberingAfterBreak="0">
    <w:nsid w:val="7EE72F0D"/>
    <w:multiLevelType w:val="hybridMultilevel"/>
    <w:tmpl w:val="8C866BD6"/>
    <w:lvl w:ilvl="0" w:tplc="13C6E91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445738882">
    <w:abstractNumId w:val="6"/>
  </w:num>
  <w:num w:numId="2" w16cid:durableId="1595552350">
    <w:abstractNumId w:val="7"/>
  </w:num>
  <w:num w:numId="3" w16cid:durableId="746077667">
    <w:abstractNumId w:val="3"/>
  </w:num>
  <w:num w:numId="4" w16cid:durableId="1495871507">
    <w:abstractNumId w:val="0"/>
  </w:num>
  <w:num w:numId="5" w16cid:durableId="644357249">
    <w:abstractNumId w:val="1"/>
  </w:num>
  <w:num w:numId="6" w16cid:durableId="1647778049">
    <w:abstractNumId w:val="4"/>
  </w:num>
  <w:num w:numId="7" w16cid:durableId="182596347">
    <w:abstractNumId w:val="5"/>
  </w:num>
  <w:num w:numId="8" w16cid:durableId="656230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C37"/>
    <w:rsid w:val="00000DCA"/>
    <w:rsid w:val="0002036B"/>
    <w:rsid w:val="00043A70"/>
    <w:rsid w:val="00076809"/>
    <w:rsid w:val="00151247"/>
    <w:rsid w:val="001E3E86"/>
    <w:rsid w:val="00273F06"/>
    <w:rsid w:val="0028673E"/>
    <w:rsid w:val="002A3355"/>
    <w:rsid w:val="002B16D0"/>
    <w:rsid w:val="002B3865"/>
    <w:rsid w:val="002C6F9C"/>
    <w:rsid w:val="002E3149"/>
    <w:rsid w:val="00300513"/>
    <w:rsid w:val="0030661C"/>
    <w:rsid w:val="0031645B"/>
    <w:rsid w:val="003B6AE0"/>
    <w:rsid w:val="00401043"/>
    <w:rsid w:val="004114B6"/>
    <w:rsid w:val="00430830"/>
    <w:rsid w:val="00431ADE"/>
    <w:rsid w:val="00445535"/>
    <w:rsid w:val="0045041E"/>
    <w:rsid w:val="004768B0"/>
    <w:rsid w:val="004872BD"/>
    <w:rsid w:val="0049273B"/>
    <w:rsid w:val="004A2F67"/>
    <w:rsid w:val="004A7228"/>
    <w:rsid w:val="004B17A5"/>
    <w:rsid w:val="004C417A"/>
    <w:rsid w:val="004C5040"/>
    <w:rsid w:val="00505AE4"/>
    <w:rsid w:val="00533D21"/>
    <w:rsid w:val="00546A9A"/>
    <w:rsid w:val="00561F6D"/>
    <w:rsid w:val="005F1623"/>
    <w:rsid w:val="006031F3"/>
    <w:rsid w:val="006456AF"/>
    <w:rsid w:val="006A2D99"/>
    <w:rsid w:val="006E04BC"/>
    <w:rsid w:val="006F1CA6"/>
    <w:rsid w:val="00721C68"/>
    <w:rsid w:val="00734C73"/>
    <w:rsid w:val="007354B2"/>
    <w:rsid w:val="00747FEE"/>
    <w:rsid w:val="00750D37"/>
    <w:rsid w:val="007840E5"/>
    <w:rsid w:val="007B4DB4"/>
    <w:rsid w:val="007C151B"/>
    <w:rsid w:val="007C5961"/>
    <w:rsid w:val="007F65AA"/>
    <w:rsid w:val="00822A96"/>
    <w:rsid w:val="008445FE"/>
    <w:rsid w:val="00861FBE"/>
    <w:rsid w:val="008A1420"/>
    <w:rsid w:val="00925C10"/>
    <w:rsid w:val="00931898"/>
    <w:rsid w:val="00982393"/>
    <w:rsid w:val="00992C81"/>
    <w:rsid w:val="00993E84"/>
    <w:rsid w:val="00A024AB"/>
    <w:rsid w:val="00A10D24"/>
    <w:rsid w:val="00A158A0"/>
    <w:rsid w:val="00A35260"/>
    <w:rsid w:val="00AF1020"/>
    <w:rsid w:val="00B17781"/>
    <w:rsid w:val="00BA7EC3"/>
    <w:rsid w:val="00BC4254"/>
    <w:rsid w:val="00BF169D"/>
    <w:rsid w:val="00C144D7"/>
    <w:rsid w:val="00C410D4"/>
    <w:rsid w:val="00C52537"/>
    <w:rsid w:val="00CE070A"/>
    <w:rsid w:val="00CE387A"/>
    <w:rsid w:val="00D041F9"/>
    <w:rsid w:val="00D33239"/>
    <w:rsid w:val="00DA6774"/>
    <w:rsid w:val="00DD6931"/>
    <w:rsid w:val="00E037F3"/>
    <w:rsid w:val="00E0637B"/>
    <w:rsid w:val="00E2389A"/>
    <w:rsid w:val="00E534D4"/>
    <w:rsid w:val="00E973F5"/>
    <w:rsid w:val="00EA1C37"/>
    <w:rsid w:val="00EB7C26"/>
    <w:rsid w:val="00F31148"/>
    <w:rsid w:val="00F3514E"/>
    <w:rsid w:val="00FE746C"/>
    <w:rsid w:val="0F35823D"/>
    <w:rsid w:val="111115F1"/>
    <w:rsid w:val="111B1CD3"/>
    <w:rsid w:val="227FC3E4"/>
    <w:rsid w:val="2439424A"/>
    <w:rsid w:val="260AD680"/>
    <w:rsid w:val="27E596D9"/>
    <w:rsid w:val="294B9CD4"/>
    <w:rsid w:val="2AAF07A1"/>
    <w:rsid w:val="32FA9552"/>
    <w:rsid w:val="3C23BF5C"/>
    <w:rsid w:val="50C62C50"/>
    <w:rsid w:val="50D12AFA"/>
    <w:rsid w:val="535EF2CB"/>
    <w:rsid w:val="53EDADDF"/>
    <w:rsid w:val="570C29FD"/>
    <w:rsid w:val="59F42893"/>
    <w:rsid w:val="5E85D14A"/>
    <w:rsid w:val="618AD1A5"/>
    <w:rsid w:val="6FF664BC"/>
    <w:rsid w:val="77A5B397"/>
    <w:rsid w:val="7CA73CC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042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C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1C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1C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1C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1C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1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C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1C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1C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1C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1C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1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C37"/>
    <w:rPr>
      <w:rFonts w:eastAsiaTheme="majorEastAsia" w:cstheme="majorBidi"/>
      <w:color w:val="272727" w:themeColor="text1" w:themeTint="D8"/>
    </w:rPr>
  </w:style>
  <w:style w:type="paragraph" w:styleId="Title">
    <w:name w:val="Title"/>
    <w:basedOn w:val="Normal"/>
    <w:next w:val="Normal"/>
    <w:link w:val="TitleChar"/>
    <w:uiPriority w:val="10"/>
    <w:qFormat/>
    <w:rsid w:val="00EA1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C37"/>
    <w:pPr>
      <w:spacing w:before="160"/>
      <w:jc w:val="center"/>
    </w:pPr>
    <w:rPr>
      <w:i/>
      <w:iCs/>
      <w:color w:val="404040" w:themeColor="text1" w:themeTint="BF"/>
    </w:rPr>
  </w:style>
  <w:style w:type="character" w:customStyle="1" w:styleId="QuoteChar">
    <w:name w:val="Quote Char"/>
    <w:basedOn w:val="DefaultParagraphFont"/>
    <w:link w:val="Quote"/>
    <w:uiPriority w:val="29"/>
    <w:rsid w:val="00EA1C37"/>
    <w:rPr>
      <w:i/>
      <w:iCs/>
      <w:color w:val="404040" w:themeColor="text1" w:themeTint="BF"/>
    </w:rPr>
  </w:style>
  <w:style w:type="paragraph" w:styleId="ListParagraph">
    <w:name w:val="List Paragraph"/>
    <w:basedOn w:val="Normal"/>
    <w:uiPriority w:val="34"/>
    <w:qFormat/>
    <w:rsid w:val="00EA1C37"/>
    <w:pPr>
      <w:ind w:left="720"/>
      <w:contextualSpacing/>
    </w:pPr>
  </w:style>
  <w:style w:type="character" w:styleId="IntenseEmphasis">
    <w:name w:val="Intense Emphasis"/>
    <w:basedOn w:val="DefaultParagraphFont"/>
    <w:uiPriority w:val="21"/>
    <w:qFormat/>
    <w:rsid w:val="00EA1C37"/>
    <w:rPr>
      <w:i/>
      <w:iCs/>
      <w:color w:val="2F5496" w:themeColor="accent1" w:themeShade="BF"/>
    </w:rPr>
  </w:style>
  <w:style w:type="paragraph" w:styleId="IntenseQuote">
    <w:name w:val="Intense Quote"/>
    <w:basedOn w:val="Normal"/>
    <w:next w:val="Normal"/>
    <w:link w:val="IntenseQuoteChar"/>
    <w:uiPriority w:val="30"/>
    <w:qFormat/>
    <w:rsid w:val="00EA1C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1C37"/>
    <w:rPr>
      <w:i/>
      <w:iCs/>
      <w:color w:val="2F5496" w:themeColor="accent1" w:themeShade="BF"/>
    </w:rPr>
  </w:style>
  <w:style w:type="character" w:styleId="IntenseReference">
    <w:name w:val="Intense Reference"/>
    <w:basedOn w:val="DefaultParagraphFont"/>
    <w:uiPriority w:val="32"/>
    <w:qFormat/>
    <w:rsid w:val="00EA1C37"/>
    <w:rPr>
      <w:b/>
      <w:bCs/>
      <w:smallCaps/>
      <w:color w:val="2F5496" w:themeColor="accent1" w:themeShade="BF"/>
      <w:spacing w:val="5"/>
    </w:rPr>
  </w:style>
  <w:style w:type="paragraph" w:styleId="Header">
    <w:name w:val="header"/>
    <w:basedOn w:val="Normal"/>
    <w:link w:val="HeaderChar"/>
    <w:uiPriority w:val="99"/>
    <w:unhideWhenUsed/>
    <w:rsid w:val="00C144D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44D7"/>
  </w:style>
  <w:style w:type="paragraph" w:styleId="Footer">
    <w:name w:val="footer"/>
    <w:basedOn w:val="Normal"/>
    <w:link w:val="FooterChar"/>
    <w:uiPriority w:val="99"/>
    <w:unhideWhenUsed/>
    <w:rsid w:val="00C144D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4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5279">
      <w:bodyDiv w:val="1"/>
      <w:marLeft w:val="0"/>
      <w:marRight w:val="0"/>
      <w:marTop w:val="0"/>
      <w:marBottom w:val="0"/>
      <w:divBdr>
        <w:top w:val="none" w:sz="0" w:space="0" w:color="auto"/>
        <w:left w:val="none" w:sz="0" w:space="0" w:color="auto"/>
        <w:bottom w:val="none" w:sz="0" w:space="0" w:color="auto"/>
        <w:right w:val="none" w:sz="0" w:space="0" w:color="auto"/>
      </w:divBdr>
    </w:div>
    <w:div w:id="187912736">
      <w:bodyDiv w:val="1"/>
      <w:marLeft w:val="0"/>
      <w:marRight w:val="0"/>
      <w:marTop w:val="0"/>
      <w:marBottom w:val="0"/>
      <w:divBdr>
        <w:top w:val="none" w:sz="0" w:space="0" w:color="auto"/>
        <w:left w:val="none" w:sz="0" w:space="0" w:color="auto"/>
        <w:bottom w:val="none" w:sz="0" w:space="0" w:color="auto"/>
        <w:right w:val="none" w:sz="0" w:space="0" w:color="auto"/>
      </w:divBdr>
      <w:divsChild>
        <w:div w:id="1380207021">
          <w:marLeft w:val="0"/>
          <w:marRight w:val="0"/>
          <w:marTop w:val="0"/>
          <w:marBottom w:val="0"/>
          <w:divBdr>
            <w:top w:val="none" w:sz="0" w:space="0" w:color="auto"/>
            <w:left w:val="none" w:sz="0" w:space="0" w:color="auto"/>
            <w:bottom w:val="none" w:sz="0" w:space="0" w:color="auto"/>
            <w:right w:val="none" w:sz="0" w:space="0" w:color="auto"/>
          </w:divBdr>
          <w:divsChild>
            <w:div w:id="59448921">
              <w:marLeft w:val="0"/>
              <w:marRight w:val="0"/>
              <w:marTop w:val="0"/>
              <w:marBottom w:val="0"/>
              <w:divBdr>
                <w:top w:val="none" w:sz="0" w:space="0" w:color="auto"/>
                <w:left w:val="none" w:sz="0" w:space="0" w:color="auto"/>
                <w:bottom w:val="none" w:sz="0" w:space="0" w:color="auto"/>
                <w:right w:val="none" w:sz="0" w:space="0" w:color="auto"/>
              </w:divBdr>
            </w:div>
            <w:div w:id="66610522">
              <w:marLeft w:val="0"/>
              <w:marRight w:val="0"/>
              <w:marTop w:val="0"/>
              <w:marBottom w:val="0"/>
              <w:divBdr>
                <w:top w:val="none" w:sz="0" w:space="0" w:color="auto"/>
                <w:left w:val="none" w:sz="0" w:space="0" w:color="auto"/>
                <w:bottom w:val="none" w:sz="0" w:space="0" w:color="auto"/>
                <w:right w:val="none" w:sz="0" w:space="0" w:color="auto"/>
              </w:divBdr>
            </w:div>
            <w:div w:id="99381141">
              <w:marLeft w:val="0"/>
              <w:marRight w:val="0"/>
              <w:marTop w:val="0"/>
              <w:marBottom w:val="0"/>
              <w:divBdr>
                <w:top w:val="none" w:sz="0" w:space="0" w:color="auto"/>
                <w:left w:val="none" w:sz="0" w:space="0" w:color="auto"/>
                <w:bottom w:val="none" w:sz="0" w:space="0" w:color="auto"/>
                <w:right w:val="none" w:sz="0" w:space="0" w:color="auto"/>
              </w:divBdr>
            </w:div>
            <w:div w:id="193348814">
              <w:marLeft w:val="0"/>
              <w:marRight w:val="0"/>
              <w:marTop w:val="0"/>
              <w:marBottom w:val="0"/>
              <w:divBdr>
                <w:top w:val="none" w:sz="0" w:space="0" w:color="auto"/>
                <w:left w:val="none" w:sz="0" w:space="0" w:color="auto"/>
                <w:bottom w:val="none" w:sz="0" w:space="0" w:color="auto"/>
                <w:right w:val="none" w:sz="0" w:space="0" w:color="auto"/>
              </w:divBdr>
            </w:div>
            <w:div w:id="267275583">
              <w:marLeft w:val="0"/>
              <w:marRight w:val="0"/>
              <w:marTop w:val="0"/>
              <w:marBottom w:val="0"/>
              <w:divBdr>
                <w:top w:val="none" w:sz="0" w:space="0" w:color="auto"/>
                <w:left w:val="none" w:sz="0" w:space="0" w:color="auto"/>
                <w:bottom w:val="none" w:sz="0" w:space="0" w:color="auto"/>
                <w:right w:val="none" w:sz="0" w:space="0" w:color="auto"/>
              </w:divBdr>
            </w:div>
            <w:div w:id="282880702">
              <w:marLeft w:val="0"/>
              <w:marRight w:val="0"/>
              <w:marTop w:val="0"/>
              <w:marBottom w:val="0"/>
              <w:divBdr>
                <w:top w:val="none" w:sz="0" w:space="0" w:color="auto"/>
                <w:left w:val="none" w:sz="0" w:space="0" w:color="auto"/>
                <w:bottom w:val="none" w:sz="0" w:space="0" w:color="auto"/>
                <w:right w:val="none" w:sz="0" w:space="0" w:color="auto"/>
              </w:divBdr>
            </w:div>
            <w:div w:id="321474933">
              <w:marLeft w:val="0"/>
              <w:marRight w:val="0"/>
              <w:marTop w:val="0"/>
              <w:marBottom w:val="0"/>
              <w:divBdr>
                <w:top w:val="none" w:sz="0" w:space="0" w:color="auto"/>
                <w:left w:val="none" w:sz="0" w:space="0" w:color="auto"/>
                <w:bottom w:val="none" w:sz="0" w:space="0" w:color="auto"/>
                <w:right w:val="none" w:sz="0" w:space="0" w:color="auto"/>
              </w:divBdr>
            </w:div>
            <w:div w:id="416949935">
              <w:marLeft w:val="0"/>
              <w:marRight w:val="0"/>
              <w:marTop w:val="0"/>
              <w:marBottom w:val="0"/>
              <w:divBdr>
                <w:top w:val="none" w:sz="0" w:space="0" w:color="auto"/>
                <w:left w:val="none" w:sz="0" w:space="0" w:color="auto"/>
                <w:bottom w:val="none" w:sz="0" w:space="0" w:color="auto"/>
                <w:right w:val="none" w:sz="0" w:space="0" w:color="auto"/>
              </w:divBdr>
            </w:div>
            <w:div w:id="418063976">
              <w:marLeft w:val="0"/>
              <w:marRight w:val="0"/>
              <w:marTop w:val="0"/>
              <w:marBottom w:val="0"/>
              <w:divBdr>
                <w:top w:val="none" w:sz="0" w:space="0" w:color="auto"/>
                <w:left w:val="none" w:sz="0" w:space="0" w:color="auto"/>
                <w:bottom w:val="none" w:sz="0" w:space="0" w:color="auto"/>
                <w:right w:val="none" w:sz="0" w:space="0" w:color="auto"/>
              </w:divBdr>
            </w:div>
            <w:div w:id="478156024">
              <w:marLeft w:val="0"/>
              <w:marRight w:val="0"/>
              <w:marTop w:val="0"/>
              <w:marBottom w:val="0"/>
              <w:divBdr>
                <w:top w:val="none" w:sz="0" w:space="0" w:color="auto"/>
                <w:left w:val="none" w:sz="0" w:space="0" w:color="auto"/>
                <w:bottom w:val="none" w:sz="0" w:space="0" w:color="auto"/>
                <w:right w:val="none" w:sz="0" w:space="0" w:color="auto"/>
              </w:divBdr>
            </w:div>
            <w:div w:id="649407568">
              <w:marLeft w:val="0"/>
              <w:marRight w:val="0"/>
              <w:marTop w:val="0"/>
              <w:marBottom w:val="0"/>
              <w:divBdr>
                <w:top w:val="none" w:sz="0" w:space="0" w:color="auto"/>
                <w:left w:val="none" w:sz="0" w:space="0" w:color="auto"/>
                <w:bottom w:val="none" w:sz="0" w:space="0" w:color="auto"/>
                <w:right w:val="none" w:sz="0" w:space="0" w:color="auto"/>
              </w:divBdr>
            </w:div>
            <w:div w:id="741561784">
              <w:marLeft w:val="0"/>
              <w:marRight w:val="0"/>
              <w:marTop w:val="0"/>
              <w:marBottom w:val="0"/>
              <w:divBdr>
                <w:top w:val="none" w:sz="0" w:space="0" w:color="auto"/>
                <w:left w:val="none" w:sz="0" w:space="0" w:color="auto"/>
                <w:bottom w:val="none" w:sz="0" w:space="0" w:color="auto"/>
                <w:right w:val="none" w:sz="0" w:space="0" w:color="auto"/>
              </w:divBdr>
            </w:div>
            <w:div w:id="1003750460">
              <w:marLeft w:val="0"/>
              <w:marRight w:val="0"/>
              <w:marTop w:val="0"/>
              <w:marBottom w:val="0"/>
              <w:divBdr>
                <w:top w:val="none" w:sz="0" w:space="0" w:color="auto"/>
                <w:left w:val="none" w:sz="0" w:space="0" w:color="auto"/>
                <w:bottom w:val="none" w:sz="0" w:space="0" w:color="auto"/>
                <w:right w:val="none" w:sz="0" w:space="0" w:color="auto"/>
              </w:divBdr>
            </w:div>
            <w:div w:id="1148085796">
              <w:marLeft w:val="0"/>
              <w:marRight w:val="0"/>
              <w:marTop w:val="0"/>
              <w:marBottom w:val="0"/>
              <w:divBdr>
                <w:top w:val="none" w:sz="0" w:space="0" w:color="auto"/>
                <w:left w:val="none" w:sz="0" w:space="0" w:color="auto"/>
                <w:bottom w:val="none" w:sz="0" w:space="0" w:color="auto"/>
                <w:right w:val="none" w:sz="0" w:space="0" w:color="auto"/>
              </w:divBdr>
            </w:div>
            <w:div w:id="1329823584">
              <w:marLeft w:val="0"/>
              <w:marRight w:val="0"/>
              <w:marTop w:val="0"/>
              <w:marBottom w:val="0"/>
              <w:divBdr>
                <w:top w:val="none" w:sz="0" w:space="0" w:color="auto"/>
                <w:left w:val="none" w:sz="0" w:space="0" w:color="auto"/>
                <w:bottom w:val="none" w:sz="0" w:space="0" w:color="auto"/>
                <w:right w:val="none" w:sz="0" w:space="0" w:color="auto"/>
              </w:divBdr>
            </w:div>
            <w:div w:id="1487673263">
              <w:marLeft w:val="0"/>
              <w:marRight w:val="0"/>
              <w:marTop w:val="0"/>
              <w:marBottom w:val="0"/>
              <w:divBdr>
                <w:top w:val="none" w:sz="0" w:space="0" w:color="auto"/>
                <w:left w:val="none" w:sz="0" w:space="0" w:color="auto"/>
                <w:bottom w:val="none" w:sz="0" w:space="0" w:color="auto"/>
                <w:right w:val="none" w:sz="0" w:space="0" w:color="auto"/>
              </w:divBdr>
            </w:div>
            <w:div w:id="171010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059544">
      <w:bodyDiv w:val="1"/>
      <w:marLeft w:val="0"/>
      <w:marRight w:val="0"/>
      <w:marTop w:val="0"/>
      <w:marBottom w:val="0"/>
      <w:divBdr>
        <w:top w:val="none" w:sz="0" w:space="0" w:color="auto"/>
        <w:left w:val="none" w:sz="0" w:space="0" w:color="auto"/>
        <w:bottom w:val="none" w:sz="0" w:space="0" w:color="auto"/>
        <w:right w:val="none" w:sz="0" w:space="0" w:color="auto"/>
      </w:divBdr>
      <w:divsChild>
        <w:div w:id="12415312">
          <w:marLeft w:val="0"/>
          <w:marRight w:val="0"/>
          <w:marTop w:val="0"/>
          <w:marBottom w:val="0"/>
          <w:divBdr>
            <w:top w:val="none" w:sz="0" w:space="0" w:color="auto"/>
            <w:left w:val="none" w:sz="0" w:space="0" w:color="auto"/>
            <w:bottom w:val="none" w:sz="0" w:space="0" w:color="auto"/>
            <w:right w:val="none" w:sz="0" w:space="0" w:color="auto"/>
          </w:divBdr>
          <w:divsChild>
            <w:div w:id="92895365">
              <w:marLeft w:val="0"/>
              <w:marRight w:val="0"/>
              <w:marTop w:val="0"/>
              <w:marBottom w:val="0"/>
              <w:divBdr>
                <w:top w:val="none" w:sz="0" w:space="0" w:color="auto"/>
                <w:left w:val="none" w:sz="0" w:space="0" w:color="auto"/>
                <w:bottom w:val="none" w:sz="0" w:space="0" w:color="auto"/>
                <w:right w:val="none" w:sz="0" w:space="0" w:color="auto"/>
              </w:divBdr>
            </w:div>
            <w:div w:id="174654499">
              <w:marLeft w:val="0"/>
              <w:marRight w:val="0"/>
              <w:marTop w:val="0"/>
              <w:marBottom w:val="0"/>
              <w:divBdr>
                <w:top w:val="none" w:sz="0" w:space="0" w:color="auto"/>
                <w:left w:val="none" w:sz="0" w:space="0" w:color="auto"/>
                <w:bottom w:val="none" w:sz="0" w:space="0" w:color="auto"/>
                <w:right w:val="none" w:sz="0" w:space="0" w:color="auto"/>
              </w:divBdr>
            </w:div>
            <w:div w:id="192420149">
              <w:marLeft w:val="0"/>
              <w:marRight w:val="0"/>
              <w:marTop w:val="0"/>
              <w:marBottom w:val="0"/>
              <w:divBdr>
                <w:top w:val="none" w:sz="0" w:space="0" w:color="auto"/>
                <w:left w:val="none" w:sz="0" w:space="0" w:color="auto"/>
                <w:bottom w:val="none" w:sz="0" w:space="0" w:color="auto"/>
                <w:right w:val="none" w:sz="0" w:space="0" w:color="auto"/>
              </w:divBdr>
            </w:div>
            <w:div w:id="382798040">
              <w:marLeft w:val="0"/>
              <w:marRight w:val="0"/>
              <w:marTop w:val="0"/>
              <w:marBottom w:val="0"/>
              <w:divBdr>
                <w:top w:val="none" w:sz="0" w:space="0" w:color="auto"/>
                <w:left w:val="none" w:sz="0" w:space="0" w:color="auto"/>
                <w:bottom w:val="none" w:sz="0" w:space="0" w:color="auto"/>
                <w:right w:val="none" w:sz="0" w:space="0" w:color="auto"/>
              </w:divBdr>
            </w:div>
            <w:div w:id="457995946">
              <w:marLeft w:val="0"/>
              <w:marRight w:val="0"/>
              <w:marTop w:val="0"/>
              <w:marBottom w:val="0"/>
              <w:divBdr>
                <w:top w:val="none" w:sz="0" w:space="0" w:color="auto"/>
                <w:left w:val="none" w:sz="0" w:space="0" w:color="auto"/>
                <w:bottom w:val="none" w:sz="0" w:space="0" w:color="auto"/>
                <w:right w:val="none" w:sz="0" w:space="0" w:color="auto"/>
              </w:divBdr>
            </w:div>
            <w:div w:id="458884477">
              <w:marLeft w:val="0"/>
              <w:marRight w:val="0"/>
              <w:marTop w:val="0"/>
              <w:marBottom w:val="0"/>
              <w:divBdr>
                <w:top w:val="none" w:sz="0" w:space="0" w:color="auto"/>
                <w:left w:val="none" w:sz="0" w:space="0" w:color="auto"/>
                <w:bottom w:val="none" w:sz="0" w:space="0" w:color="auto"/>
                <w:right w:val="none" w:sz="0" w:space="0" w:color="auto"/>
              </w:divBdr>
            </w:div>
            <w:div w:id="570389632">
              <w:marLeft w:val="0"/>
              <w:marRight w:val="0"/>
              <w:marTop w:val="0"/>
              <w:marBottom w:val="0"/>
              <w:divBdr>
                <w:top w:val="none" w:sz="0" w:space="0" w:color="auto"/>
                <w:left w:val="none" w:sz="0" w:space="0" w:color="auto"/>
                <w:bottom w:val="none" w:sz="0" w:space="0" w:color="auto"/>
                <w:right w:val="none" w:sz="0" w:space="0" w:color="auto"/>
              </w:divBdr>
            </w:div>
            <w:div w:id="707949049">
              <w:marLeft w:val="0"/>
              <w:marRight w:val="0"/>
              <w:marTop w:val="0"/>
              <w:marBottom w:val="0"/>
              <w:divBdr>
                <w:top w:val="none" w:sz="0" w:space="0" w:color="auto"/>
                <w:left w:val="none" w:sz="0" w:space="0" w:color="auto"/>
                <w:bottom w:val="none" w:sz="0" w:space="0" w:color="auto"/>
                <w:right w:val="none" w:sz="0" w:space="0" w:color="auto"/>
              </w:divBdr>
            </w:div>
            <w:div w:id="1017736954">
              <w:marLeft w:val="0"/>
              <w:marRight w:val="0"/>
              <w:marTop w:val="0"/>
              <w:marBottom w:val="0"/>
              <w:divBdr>
                <w:top w:val="none" w:sz="0" w:space="0" w:color="auto"/>
                <w:left w:val="none" w:sz="0" w:space="0" w:color="auto"/>
                <w:bottom w:val="none" w:sz="0" w:space="0" w:color="auto"/>
                <w:right w:val="none" w:sz="0" w:space="0" w:color="auto"/>
              </w:divBdr>
            </w:div>
            <w:div w:id="1224297808">
              <w:marLeft w:val="0"/>
              <w:marRight w:val="0"/>
              <w:marTop w:val="0"/>
              <w:marBottom w:val="0"/>
              <w:divBdr>
                <w:top w:val="none" w:sz="0" w:space="0" w:color="auto"/>
                <w:left w:val="none" w:sz="0" w:space="0" w:color="auto"/>
                <w:bottom w:val="none" w:sz="0" w:space="0" w:color="auto"/>
                <w:right w:val="none" w:sz="0" w:space="0" w:color="auto"/>
              </w:divBdr>
            </w:div>
            <w:div w:id="202238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50781">
      <w:bodyDiv w:val="1"/>
      <w:marLeft w:val="0"/>
      <w:marRight w:val="0"/>
      <w:marTop w:val="0"/>
      <w:marBottom w:val="0"/>
      <w:divBdr>
        <w:top w:val="none" w:sz="0" w:space="0" w:color="auto"/>
        <w:left w:val="none" w:sz="0" w:space="0" w:color="auto"/>
        <w:bottom w:val="none" w:sz="0" w:space="0" w:color="auto"/>
        <w:right w:val="none" w:sz="0" w:space="0" w:color="auto"/>
      </w:divBdr>
      <w:divsChild>
        <w:div w:id="1772432301">
          <w:marLeft w:val="0"/>
          <w:marRight w:val="0"/>
          <w:marTop w:val="0"/>
          <w:marBottom w:val="0"/>
          <w:divBdr>
            <w:top w:val="none" w:sz="0" w:space="0" w:color="auto"/>
            <w:left w:val="none" w:sz="0" w:space="0" w:color="auto"/>
            <w:bottom w:val="none" w:sz="0" w:space="0" w:color="auto"/>
            <w:right w:val="none" w:sz="0" w:space="0" w:color="auto"/>
          </w:divBdr>
          <w:divsChild>
            <w:div w:id="61028578">
              <w:marLeft w:val="0"/>
              <w:marRight w:val="0"/>
              <w:marTop w:val="0"/>
              <w:marBottom w:val="0"/>
              <w:divBdr>
                <w:top w:val="none" w:sz="0" w:space="0" w:color="auto"/>
                <w:left w:val="none" w:sz="0" w:space="0" w:color="auto"/>
                <w:bottom w:val="none" w:sz="0" w:space="0" w:color="auto"/>
                <w:right w:val="none" w:sz="0" w:space="0" w:color="auto"/>
              </w:divBdr>
            </w:div>
            <w:div w:id="101460964">
              <w:marLeft w:val="0"/>
              <w:marRight w:val="0"/>
              <w:marTop w:val="0"/>
              <w:marBottom w:val="0"/>
              <w:divBdr>
                <w:top w:val="none" w:sz="0" w:space="0" w:color="auto"/>
                <w:left w:val="none" w:sz="0" w:space="0" w:color="auto"/>
                <w:bottom w:val="none" w:sz="0" w:space="0" w:color="auto"/>
                <w:right w:val="none" w:sz="0" w:space="0" w:color="auto"/>
              </w:divBdr>
            </w:div>
            <w:div w:id="489101607">
              <w:marLeft w:val="0"/>
              <w:marRight w:val="0"/>
              <w:marTop w:val="0"/>
              <w:marBottom w:val="0"/>
              <w:divBdr>
                <w:top w:val="none" w:sz="0" w:space="0" w:color="auto"/>
                <w:left w:val="none" w:sz="0" w:space="0" w:color="auto"/>
                <w:bottom w:val="none" w:sz="0" w:space="0" w:color="auto"/>
                <w:right w:val="none" w:sz="0" w:space="0" w:color="auto"/>
              </w:divBdr>
            </w:div>
            <w:div w:id="538131575">
              <w:marLeft w:val="0"/>
              <w:marRight w:val="0"/>
              <w:marTop w:val="0"/>
              <w:marBottom w:val="0"/>
              <w:divBdr>
                <w:top w:val="none" w:sz="0" w:space="0" w:color="auto"/>
                <w:left w:val="none" w:sz="0" w:space="0" w:color="auto"/>
                <w:bottom w:val="none" w:sz="0" w:space="0" w:color="auto"/>
                <w:right w:val="none" w:sz="0" w:space="0" w:color="auto"/>
              </w:divBdr>
            </w:div>
            <w:div w:id="591165976">
              <w:marLeft w:val="0"/>
              <w:marRight w:val="0"/>
              <w:marTop w:val="0"/>
              <w:marBottom w:val="0"/>
              <w:divBdr>
                <w:top w:val="none" w:sz="0" w:space="0" w:color="auto"/>
                <w:left w:val="none" w:sz="0" w:space="0" w:color="auto"/>
                <w:bottom w:val="none" w:sz="0" w:space="0" w:color="auto"/>
                <w:right w:val="none" w:sz="0" w:space="0" w:color="auto"/>
              </w:divBdr>
            </w:div>
            <w:div w:id="644431188">
              <w:marLeft w:val="0"/>
              <w:marRight w:val="0"/>
              <w:marTop w:val="0"/>
              <w:marBottom w:val="0"/>
              <w:divBdr>
                <w:top w:val="none" w:sz="0" w:space="0" w:color="auto"/>
                <w:left w:val="none" w:sz="0" w:space="0" w:color="auto"/>
                <w:bottom w:val="none" w:sz="0" w:space="0" w:color="auto"/>
                <w:right w:val="none" w:sz="0" w:space="0" w:color="auto"/>
              </w:divBdr>
            </w:div>
            <w:div w:id="695236342">
              <w:marLeft w:val="0"/>
              <w:marRight w:val="0"/>
              <w:marTop w:val="0"/>
              <w:marBottom w:val="0"/>
              <w:divBdr>
                <w:top w:val="none" w:sz="0" w:space="0" w:color="auto"/>
                <w:left w:val="none" w:sz="0" w:space="0" w:color="auto"/>
                <w:bottom w:val="none" w:sz="0" w:space="0" w:color="auto"/>
                <w:right w:val="none" w:sz="0" w:space="0" w:color="auto"/>
              </w:divBdr>
            </w:div>
            <w:div w:id="703287608">
              <w:marLeft w:val="0"/>
              <w:marRight w:val="0"/>
              <w:marTop w:val="0"/>
              <w:marBottom w:val="0"/>
              <w:divBdr>
                <w:top w:val="none" w:sz="0" w:space="0" w:color="auto"/>
                <w:left w:val="none" w:sz="0" w:space="0" w:color="auto"/>
                <w:bottom w:val="none" w:sz="0" w:space="0" w:color="auto"/>
                <w:right w:val="none" w:sz="0" w:space="0" w:color="auto"/>
              </w:divBdr>
            </w:div>
            <w:div w:id="705327513">
              <w:marLeft w:val="0"/>
              <w:marRight w:val="0"/>
              <w:marTop w:val="0"/>
              <w:marBottom w:val="0"/>
              <w:divBdr>
                <w:top w:val="none" w:sz="0" w:space="0" w:color="auto"/>
                <w:left w:val="none" w:sz="0" w:space="0" w:color="auto"/>
                <w:bottom w:val="none" w:sz="0" w:space="0" w:color="auto"/>
                <w:right w:val="none" w:sz="0" w:space="0" w:color="auto"/>
              </w:divBdr>
            </w:div>
            <w:div w:id="814378403">
              <w:marLeft w:val="0"/>
              <w:marRight w:val="0"/>
              <w:marTop w:val="0"/>
              <w:marBottom w:val="0"/>
              <w:divBdr>
                <w:top w:val="none" w:sz="0" w:space="0" w:color="auto"/>
                <w:left w:val="none" w:sz="0" w:space="0" w:color="auto"/>
                <w:bottom w:val="none" w:sz="0" w:space="0" w:color="auto"/>
                <w:right w:val="none" w:sz="0" w:space="0" w:color="auto"/>
              </w:divBdr>
            </w:div>
            <w:div w:id="894439197">
              <w:marLeft w:val="0"/>
              <w:marRight w:val="0"/>
              <w:marTop w:val="0"/>
              <w:marBottom w:val="0"/>
              <w:divBdr>
                <w:top w:val="none" w:sz="0" w:space="0" w:color="auto"/>
                <w:left w:val="none" w:sz="0" w:space="0" w:color="auto"/>
                <w:bottom w:val="none" w:sz="0" w:space="0" w:color="auto"/>
                <w:right w:val="none" w:sz="0" w:space="0" w:color="auto"/>
              </w:divBdr>
            </w:div>
            <w:div w:id="923681083">
              <w:marLeft w:val="0"/>
              <w:marRight w:val="0"/>
              <w:marTop w:val="0"/>
              <w:marBottom w:val="0"/>
              <w:divBdr>
                <w:top w:val="none" w:sz="0" w:space="0" w:color="auto"/>
                <w:left w:val="none" w:sz="0" w:space="0" w:color="auto"/>
                <w:bottom w:val="none" w:sz="0" w:space="0" w:color="auto"/>
                <w:right w:val="none" w:sz="0" w:space="0" w:color="auto"/>
              </w:divBdr>
            </w:div>
            <w:div w:id="1084107222">
              <w:marLeft w:val="0"/>
              <w:marRight w:val="0"/>
              <w:marTop w:val="0"/>
              <w:marBottom w:val="0"/>
              <w:divBdr>
                <w:top w:val="none" w:sz="0" w:space="0" w:color="auto"/>
                <w:left w:val="none" w:sz="0" w:space="0" w:color="auto"/>
                <w:bottom w:val="none" w:sz="0" w:space="0" w:color="auto"/>
                <w:right w:val="none" w:sz="0" w:space="0" w:color="auto"/>
              </w:divBdr>
            </w:div>
            <w:div w:id="1099109060">
              <w:marLeft w:val="0"/>
              <w:marRight w:val="0"/>
              <w:marTop w:val="0"/>
              <w:marBottom w:val="0"/>
              <w:divBdr>
                <w:top w:val="none" w:sz="0" w:space="0" w:color="auto"/>
                <w:left w:val="none" w:sz="0" w:space="0" w:color="auto"/>
                <w:bottom w:val="none" w:sz="0" w:space="0" w:color="auto"/>
                <w:right w:val="none" w:sz="0" w:space="0" w:color="auto"/>
              </w:divBdr>
            </w:div>
            <w:div w:id="1149782909">
              <w:marLeft w:val="0"/>
              <w:marRight w:val="0"/>
              <w:marTop w:val="0"/>
              <w:marBottom w:val="0"/>
              <w:divBdr>
                <w:top w:val="none" w:sz="0" w:space="0" w:color="auto"/>
                <w:left w:val="none" w:sz="0" w:space="0" w:color="auto"/>
                <w:bottom w:val="none" w:sz="0" w:space="0" w:color="auto"/>
                <w:right w:val="none" w:sz="0" w:space="0" w:color="auto"/>
              </w:divBdr>
            </w:div>
            <w:div w:id="1359969013">
              <w:marLeft w:val="0"/>
              <w:marRight w:val="0"/>
              <w:marTop w:val="0"/>
              <w:marBottom w:val="0"/>
              <w:divBdr>
                <w:top w:val="none" w:sz="0" w:space="0" w:color="auto"/>
                <w:left w:val="none" w:sz="0" w:space="0" w:color="auto"/>
                <w:bottom w:val="none" w:sz="0" w:space="0" w:color="auto"/>
                <w:right w:val="none" w:sz="0" w:space="0" w:color="auto"/>
              </w:divBdr>
            </w:div>
            <w:div w:id="1530071962">
              <w:marLeft w:val="0"/>
              <w:marRight w:val="0"/>
              <w:marTop w:val="0"/>
              <w:marBottom w:val="0"/>
              <w:divBdr>
                <w:top w:val="none" w:sz="0" w:space="0" w:color="auto"/>
                <w:left w:val="none" w:sz="0" w:space="0" w:color="auto"/>
                <w:bottom w:val="none" w:sz="0" w:space="0" w:color="auto"/>
                <w:right w:val="none" w:sz="0" w:space="0" w:color="auto"/>
              </w:divBdr>
            </w:div>
            <w:div w:id="1567643321">
              <w:marLeft w:val="0"/>
              <w:marRight w:val="0"/>
              <w:marTop w:val="0"/>
              <w:marBottom w:val="0"/>
              <w:divBdr>
                <w:top w:val="none" w:sz="0" w:space="0" w:color="auto"/>
                <w:left w:val="none" w:sz="0" w:space="0" w:color="auto"/>
                <w:bottom w:val="none" w:sz="0" w:space="0" w:color="auto"/>
                <w:right w:val="none" w:sz="0" w:space="0" w:color="auto"/>
              </w:divBdr>
            </w:div>
            <w:div w:id="1600411258">
              <w:marLeft w:val="0"/>
              <w:marRight w:val="0"/>
              <w:marTop w:val="0"/>
              <w:marBottom w:val="0"/>
              <w:divBdr>
                <w:top w:val="none" w:sz="0" w:space="0" w:color="auto"/>
                <w:left w:val="none" w:sz="0" w:space="0" w:color="auto"/>
                <w:bottom w:val="none" w:sz="0" w:space="0" w:color="auto"/>
                <w:right w:val="none" w:sz="0" w:space="0" w:color="auto"/>
              </w:divBdr>
            </w:div>
            <w:div w:id="1748575609">
              <w:marLeft w:val="0"/>
              <w:marRight w:val="0"/>
              <w:marTop w:val="0"/>
              <w:marBottom w:val="0"/>
              <w:divBdr>
                <w:top w:val="none" w:sz="0" w:space="0" w:color="auto"/>
                <w:left w:val="none" w:sz="0" w:space="0" w:color="auto"/>
                <w:bottom w:val="none" w:sz="0" w:space="0" w:color="auto"/>
                <w:right w:val="none" w:sz="0" w:space="0" w:color="auto"/>
              </w:divBdr>
            </w:div>
            <w:div w:id="1823426300">
              <w:marLeft w:val="0"/>
              <w:marRight w:val="0"/>
              <w:marTop w:val="0"/>
              <w:marBottom w:val="0"/>
              <w:divBdr>
                <w:top w:val="none" w:sz="0" w:space="0" w:color="auto"/>
                <w:left w:val="none" w:sz="0" w:space="0" w:color="auto"/>
                <w:bottom w:val="none" w:sz="0" w:space="0" w:color="auto"/>
                <w:right w:val="none" w:sz="0" w:space="0" w:color="auto"/>
              </w:divBdr>
            </w:div>
            <w:div w:id="1851796396">
              <w:marLeft w:val="0"/>
              <w:marRight w:val="0"/>
              <w:marTop w:val="0"/>
              <w:marBottom w:val="0"/>
              <w:divBdr>
                <w:top w:val="none" w:sz="0" w:space="0" w:color="auto"/>
                <w:left w:val="none" w:sz="0" w:space="0" w:color="auto"/>
                <w:bottom w:val="none" w:sz="0" w:space="0" w:color="auto"/>
                <w:right w:val="none" w:sz="0" w:space="0" w:color="auto"/>
              </w:divBdr>
            </w:div>
            <w:div w:id="1860240968">
              <w:marLeft w:val="0"/>
              <w:marRight w:val="0"/>
              <w:marTop w:val="0"/>
              <w:marBottom w:val="0"/>
              <w:divBdr>
                <w:top w:val="none" w:sz="0" w:space="0" w:color="auto"/>
                <w:left w:val="none" w:sz="0" w:space="0" w:color="auto"/>
                <w:bottom w:val="none" w:sz="0" w:space="0" w:color="auto"/>
                <w:right w:val="none" w:sz="0" w:space="0" w:color="auto"/>
              </w:divBdr>
            </w:div>
            <w:div w:id="2048218580">
              <w:marLeft w:val="0"/>
              <w:marRight w:val="0"/>
              <w:marTop w:val="0"/>
              <w:marBottom w:val="0"/>
              <w:divBdr>
                <w:top w:val="none" w:sz="0" w:space="0" w:color="auto"/>
                <w:left w:val="none" w:sz="0" w:space="0" w:color="auto"/>
                <w:bottom w:val="none" w:sz="0" w:space="0" w:color="auto"/>
                <w:right w:val="none" w:sz="0" w:space="0" w:color="auto"/>
              </w:divBdr>
            </w:div>
            <w:div w:id="20920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55168">
      <w:bodyDiv w:val="1"/>
      <w:marLeft w:val="0"/>
      <w:marRight w:val="0"/>
      <w:marTop w:val="0"/>
      <w:marBottom w:val="0"/>
      <w:divBdr>
        <w:top w:val="none" w:sz="0" w:space="0" w:color="auto"/>
        <w:left w:val="none" w:sz="0" w:space="0" w:color="auto"/>
        <w:bottom w:val="none" w:sz="0" w:space="0" w:color="auto"/>
        <w:right w:val="none" w:sz="0" w:space="0" w:color="auto"/>
      </w:divBdr>
      <w:divsChild>
        <w:div w:id="897864021">
          <w:marLeft w:val="0"/>
          <w:marRight w:val="0"/>
          <w:marTop w:val="0"/>
          <w:marBottom w:val="0"/>
          <w:divBdr>
            <w:top w:val="none" w:sz="0" w:space="0" w:color="auto"/>
            <w:left w:val="none" w:sz="0" w:space="0" w:color="auto"/>
            <w:bottom w:val="none" w:sz="0" w:space="0" w:color="auto"/>
            <w:right w:val="none" w:sz="0" w:space="0" w:color="auto"/>
          </w:divBdr>
          <w:divsChild>
            <w:div w:id="280108903">
              <w:marLeft w:val="0"/>
              <w:marRight w:val="0"/>
              <w:marTop w:val="0"/>
              <w:marBottom w:val="0"/>
              <w:divBdr>
                <w:top w:val="none" w:sz="0" w:space="0" w:color="auto"/>
                <w:left w:val="none" w:sz="0" w:space="0" w:color="auto"/>
                <w:bottom w:val="none" w:sz="0" w:space="0" w:color="auto"/>
                <w:right w:val="none" w:sz="0" w:space="0" w:color="auto"/>
              </w:divBdr>
            </w:div>
            <w:div w:id="287589218">
              <w:marLeft w:val="0"/>
              <w:marRight w:val="0"/>
              <w:marTop w:val="0"/>
              <w:marBottom w:val="0"/>
              <w:divBdr>
                <w:top w:val="none" w:sz="0" w:space="0" w:color="auto"/>
                <w:left w:val="none" w:sz="0" w:space="0" w:color="auto"/>
                <w:bottom w:val="none" w:sz="0" w:space="0" w:color="auto"/>
                <w:right w:val="none" w:sz="0" w:space="0" w:color="auto"/>
              </w:divBdr>
            </w:div>
            <w:div w:id="302854703">
              <w:marLeft w:val="0"/>
              <w:marRight w:val="0"/>
              <w:marTop w:val="0"/>
              <w:marBottom w:val="0"/>
              <w:divBdr>
                <w:top w:val="none" w:sz="0" w:space="0" w:color="auto"/>
                <w:left w:val="none" w:sz="0" w:space="0" w:color="auto"/>
                <w:bottom w:val="none" w:sz="0" w:space="0" w:color="auto"/>
                <w:right w:val="none" w:sz="0" w:space="0" w:color="auto"/>
              </w:divBdr>
            </w:div>
            <w:div w:id="436024787">
              <w:marLeft w:val="0"/>
              <w:marRight w:val="0"/>
              <w:marTop w:val="0"/>
              <w:marBottom w:val="0"/>
              <w:divBdr>
                <w:top w:val="none" w:sz="0" w:space="0" w:color="auto"/>
                <w:left w:val="none" w:sz="0" w:space="0" w:color="auto"/>
                <w:bottom w:val="none" w:sz="0" w:space="0" w:color="auto"/>
                <w:right w:val="none" w:sz="0" w:space="0" w:color="auto"/>
              </w:divBdr>
            </w:div>
            <w:div w:id="533035369">
              <w:marLeft w:val="0"/>
              <w:marRight w:val="0"/>
              <w:marTop w:val="0"/>
              <w:marBottom w:val="0"/>
              <w:divBdr>
                <w:top w:val="none" w:sz="0" w:space="0" w:color="auto"/>
                <w:left w:val="none" w:sz="0" w:space="0" w:color="auto"/>
                <w:bottom w:val="none" w:sz="0" w:space="0" w:color="auto"/>
                <w:right w:val="none" w:sz="0" w:space="0" w:color="auto"/>
              </w:divBdr>
            </w:div>
            <w:div w:id="539899478">
              <w:marLeft w:val="0"/>
              <w:marRight w:val="0"/>
              <w:marTop w:val="0"/>
              <w:marBottom w:val="0"/>
              <w:divBdr>
                <w:top w:val="none" w:sz="0" w:space="0" w:color="auto"/>
                <w:left w:val="none" w:sz="0" w:space="0" w:color="auto"/>
                <w:bottom w:val="none" w:sz="0" w:space="0" w:color="auto"/>
                <w:right w:val="none" w:sz="0" w:space="0" w:color="auto"/>
              </w:divBdr>
            </w:div>
            <w:div w:id="650254315">
              <w:marLeft w:val="0"/>
              <w:marRight w:val="0"/>
              <w:marTop w:val="0"/>
              <w:marBottom w:val="0"/>
              <w:divBdr>
                <w:top w:val="none" w:sz="0" w:space="0" w:color="auto"/>
                <w:left w:val="none" w:sz="0" w:space="0" w:color="auto"/>
                <w:bottom w:val="none" w:sz="0" w:space="0" w:color="auto"/>
                <w:right w:val="none" w:sz="0" w:space="0" w:color="auto"/>
              </w:divBdr>
            </w:div>
            <w:div w:id="679740732">
              <w:marLeft w:val="0"/>
              <w:marRight w:val="0"/>
              <w:marTop w:val="0"/>
              <w:marBottom w:val="0"/>
              <w:divBdr>
                <w:top w:val="none" w:sz="0" w:space="0" w:color="auto"/>
                <w:left w:val="none" w:sz="0" w:space="0" w:color="auto"/>
                <w:bottom w:val="none" w:sz="0" w:space="0" w:color="auto"/>
                <w:right w:val="none" w:sz="0" w:space="0" w:color="auto"/>
              </w:divBdr>
            </w:div>
            <w:div w:id="743376740">
              <w:marLeft w:val="0"/>
              <w:marRight w:val="0"/>
              <w:marTop w:val="0"/>
              <w:marBottom w:val="0"/>
              <w:divBdr>
                <w:top w:val="none" w:sz="0" w:space="0" w:color="auto"/>
                <w:left w:val="none" w:sz="0" w:space="0" w:color="auto"/>
                <w:bottom w:val="none" w:sz="0" w:space="0" w:color="auto"/>
                <w:right w:val="none" w:sz="0" w:space="0" w:color="auto"/>
              </w:divBdr>
            </w:div>
            <w:div w:id="1269312235">
              <w:marLeft w:val="0"/>
              <w:marRight w:val="0"/>
              <w:marTop w:val="0"/>
              <w:marBottom w:val="0"/>
              <w:divBdr>
                <w:top w:val="none" w:sz="0" w:space="0" w:color="auto"/>
                <w:left w:val="none" w:sz="0" w:space="0" w:color="auto"/>
                <w:bottom w:val="none" w:sz="0" w:space="0" w:color="auto"/>
                <w:right w:val="none" w:sz="0" w:space="0" w:color="auto"/>
              </w:divBdr>
            </w:div>
            <w:div w:id="1327174644">
              <w:marLeft w:val="0"/>
              <w:marRight w:val="0"/>
              <w:marTop w:val="0"/>
              <w:marBottom w:val="0"/>
              <w:divBdr>
                <w:top w:val="none" w:sz="0" w:space="0" w:color="auto"/>
                <w:left w:val="none" w:sz="0" w:space="0" w:color="auto"/>
                <w:bottom w:val="none" w:sz="0" w:space="0" w:color="auto"/>
                <w:right w:val="none" w:sz="0" w:space="0" w:color="auto"/>
              </w:divBdr>
            </w:div>
            <w:div w:id="1330598553">
              <w:marLeft w:val="0"/>
              <w:marRight w:val="0"/>
              <w:marTop w:val="0"/>
              <w:marBottom w:val="0"/>
              <w:divBdr>
                <w:top w:val="none" w:sz="0" w:space="0" w:color="auto"/>
                <w:left w:val="none" w:sz="0" w:space="0" w:color="auto"/>
                <w:bottom w:val="none" w:sz="0" w:space="0" w:color="auto"/>
                <w:right w:val="none" w:sz="0" w:space="0" w:color="auto"/>
              </w:divBdr>
            </w:div>
            <w:div w:id="1363282474">
              <w:marLeft w:val="0"/>
              <w:marRight w:val="0"/>
              <w:marTop w:val="0"/>
              <w:marBottom w:val="0"/>
              <w:divBdr>
                <w:top w:val="none" w:sz="0" w:space="0" w:color="auto"/>
                <w:left w:val="none" w:sz="0" w:space="0" w:color="auto"/>
                <w:bottom w:val="none" w:sz="0" w:space="0" w:color="auto"/>
                <w:right w:val="none" w:sz="0" w:space="0" w:color="auto"/>
              </w:divBdr>
            </w:div>
            <w:div w:id="1539663632">
              <w:marLeft w:val="0"/>
              <w:marRight w:val="0"/>
              <w:marTop w:val="0"/>
              <w:marBottom w:val="0"/>
              <w:divBdr>
                <w:top w:val="none" w:sz="0" w:space="0" w:color="auto"/>
                <w:left w:val="none" w:sz="0" w:space="0" w:color="auto"/>
                <w:bottom w:val="none" w:sz="0" w:space="0" w:color="auto"/>
                <w:right w:val="none" w:sz="0" w:space="0" w:color="auto"/>
              </w:divBdr>
            </w:div>
            <w:div w:id="1850296469">
              <w:marLeft w:val="0"/>
              <w:marRight w:val="0"/>
              <w:marTop w:val="0"/>
              <w:marBottom w:val="0"/>
              <w:divBdr>
                <w:top w:val="none" w:sz="0" w:space="0" w:color="auto"/>
                <w:left w:val="none" w:sz="0" w:space="0" w:color="auto"/>
                <w:bottom w:val="none" w:sz="0" w:space="0" w:color="auto"/>
                <w:right w:val="none" w:sz="0" w:space="0" w:color="auto"/>
              </w:divBdr>
            </w:div>
            <w:div w:id="1895433726">
              <w:marLeft w:val="0"/>
              <w:marRight w:val="0"/>
              <w:marTop w:val="0"/>
              <w:marBottom w:val="0"/>
              <w:divBdr>
                <w:top w:val="none" w:sz="0" w:space="0" w:color="auto"/>
                <w:left w:val="none" w:sz="0" w:space="0" w:color="auto"/>
                <w:bottom w:val="none" w:sz="0" w:space="0" w:color="auto"/>
                <w:right w:val="none" w:sz="0" w:space="0" w:color="auto"/>
              </w:divBdr>
            </w:div>
            <w:div w:id="20600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86430">
      <w:bodyDiv w:val="1"/>
      <w:marLeft w:val="0"/>
      <w:marRight w:val="0"/>
      <w:marTop w:val="0"/>
      <w:marBottom w:val="0"/>
      <w:divBdr>
        <w:top w:val="none" w:sz="0" w:space="0" w:color="auto"/>
        <w:left w:val="none" w:sz="0" w:space="0" w:color="auto"/>
        <w:bottom w:val="none" w:sz="0" w:space="0" w:color="auto"/>
        <w:right w:val="none" w:sz="0" w:space="0" w:color="auto"/>
      </w:divBdr>
    </w:div>
    <w:div w:id="1928223131">
      <w:bodyDiv w:val="1"/>
      <w:marLeft w:val="0"/>
      <w:marRight w:val="0"/>
      <w:marTop w:val="0"/>
      <w:marBottom w:val="0"/>
      <w:divBdr>
        <w:top w:val="none" w:sz="0" w:space="0" w:color="auto"/>
        <w:left w:val="none" w:sz="0" w:space="0" w:color="auto"/>
        <w:bottom w:val="none" w:sz="0" w:space="0" w:color="auto"/>
        <w:right w:val="none" w:sz="0" w:space="0" w:color="auto"/>
      </w:divBdr>
      <w:divsChild>
        <w:div w:id="513501421">
          <w:marLeft w:val="0"/>
          <w:marRight w:val="0"/>
          <w:marTop w:val="0"/>
          <w:marBottom w:val="0"/>
          <w:divBdr>
            <w:top w:val="none" w:sz="0" w:space="0" w:color="auto"/>
            <w:left w:val="none" w:sz="0" w:space="0" w:color="auto"/>
            <w:bottom w:val="none" w:sz="0" w:space="0" w:color="auto"/>
            <w:right w:val="none" w:sz="0" w:space="0" w:color="auto"/>
          </w:divBdr>
          <w:divsChild>
            <w:div w:id="29503469">
              <w:marLeft w:val="0"/>
              <w:marRight w:val="0"/>
              <w:marTop w:val="0"/>
              <w:marBottom w:val="0"/>
              <w:divBdr>
                <w:top w:val="none" w:sz="0" w:space="0" w:color="auto"/>
                <w:left w:val="none" w:sz="0" w:space="0" w:color="auto"/>
                <w:bottom w:val="none" w:sz="0" w:space="0" w:color="auto"/>
                <w:right w:val="none" w:sz="0" w:space="0" w:color="auto"/>
              </w:divBdr>
            </w:div>
            <w:div w:id="61174337">
              <w:marLeft w:val="0"/>
              <w:marRight w:val="0"/>
              <w:marTop w:val="0"/>
              <w:marBottom w:val="0"/>
              <w:divBdr>
                <w:top w:val="none" w:sz="0" w:space="0" w:color="auto"/>
                <w:left w:val="none" w:sz="0" w:space="0" w:color="auto"/>
                <w:bottom w:val="none" w:sz="0" w:space="0" w:color="auto"/>
                <w:right w:val="none" w:sz="0" w:space="0" w:color="auto"/>
              </w:divBdr>
            </w:div>
            <w:div w:id="256793011">
              <w:marLeft w:val="0"/>
              <w:marRight w:val="0"/>
              <w:marTop w:val="0"/>
              <w:marBottom w:val="0"/>
              <w:divBdr>
                <w:top w:val="none" w:sz="0" w:space="0" w:color="auto"/>
                <w:left w:val="none" w:sz="0" w:space="0" w:color="auto"/>
                <w:bottom w:val="none" w:sz="0" w:space="0" w:color="auto"/>
                <w:right w:val="none" w:sz="0" w:space="0" w:color="auto"/>
              </w:divBdr>
            </w:div>
            <w:div w:id="294797138">
              <w:marLeft w:val="0"/>
              <w:marRight w:val="0"/>
              <w:marTop w:val="0"/>
              <w:marBottom w:val="0"/>
              <w:divBdr>
                <w:top w:val="none" w:sz="0" w:space="0" w:color="auto"/>
                <w:left w:val="none" w:sz="0" w:space="0" w:color="auto"/>
                <w:bottom w:val="none" w:sz="0" w:space="0" w:color="auto"/>
                <w:right w:val="none" w:sz="0" w:space="0" w:color="auto"/>
              </w:divBdr>
            </w:div>
            <w:div w:id="418867499">
              <w:marLeft w:val="0"/>
              <w:marRight w:val="0"/>
              <w:marTop w:val="0"/>
              <w:marBottom w:val="0"/>
              <w:divBdr>
                <w:top w:val="none" w:sz="0" w:space="0" w:color="auto"/>
                <w:left w:val="none" w:sz="0" w:space="0" w:color="auto"/>
                <w:bottom w:val="none" w:sz="0" w:space="0" w:color="auto"/>
                <w:right w:val="none" w:sz="0" w:space="0" w:color="auto"/>
              </w:divBdr>
            </w:div>
            <w:div w:id="647366372">
              <w:marLeft w:val="0"/>
              <w:marRight w:val="0"/>
              <w:marTop w:val="0"/>
              <w:marBottom w:val="0"/>
              <w:divBdr>
                <w:top w:val="none" w:sz="0" w:space="0" w:color="auto"/>
                <w:left w:val="none" w:sz="0" w:space="0" w:color="auto"/>
                <w:bottom w:val="none" w:sz="0" w:space="0" w:color="auto"/>
                <w:right w:val="none" w:sz="0" w:space="0" w:color="auto"/>
              </w:divBdr>
            </w:div>
            <w:div w:id="1022240868">
              <w:marLeft w:val="0"/>
              <w:marRight w:val="0"/>
              <w:marTop w:val="0"/>
              <w:marBottom w:val="0"/>
              <w:divBdr>
                <w:top w:val="none" w:sz="0" w:space="0" w:color="auto"/>
                <w:left w:val="none" w:sz="0" w:space="0" w:color="auto"/>
                <w:bottom w:val="none" w:sz="0" w:space="0" w:color="auto"/>
                <w:right w:val="none" w:sz="0" w:space="0" w:color="auto"/>
              </w:divBdr>
            </w:div>
            <w:div w:id="1061514519">
              <w:marLeft w:val="0"/>
              <w:marRight w:val="0"/>
              <w:marTop w:val="0"/>
              <w:marBottom w:val="0"/>
              <w:divBdr>
                <w:top w:val="none" w:sz="0" w:space="0" w:color="auto"/>
                <w:left w:val="none" w:sz="0" w:space="0" w:color="auto"/>
                <w:bottom w:val="none" w:sz="0" w:space="0" w:color="auto"/>
                <w:right w:val="none" w:sz="0" w:space="0" w:color="auto"/>
              </w:divBdr>
            </w:div>
            <w:div w:id="1289626101">
              <w:marLeft w:val="0"/>
              <w:marRight w:val="0"/>
              <w:marTop w:val="0"/>
              <w:marBottom w:val="0"/>
              <w:divBdr>
                <w:top w:val="none" w:sz="0" w:space="0" w:color="auto"/>
                <w:left w:val="none" w:sz="0" w:space="0" w:color="auto"/>
                <w:bottom w:val="none" w:sz="0" w:space="0" w:color="auto"/>
                <w:right w:val="none" w:sz="0" w:space="0" w:color="auto"/>
              </w:divBdr>
            </w:div>
            <w:div w:id="1532301674">
              <w:marLeft w:val="0"/>
              <w:marRight w:val="0"/>
              <w:marTop w:val="0"/>
              <w:marBottom w:val="0"/>
              <w:divBdr>
                <w:top w:val="none" w:sz="0" w:space="0" w:color="auto"/>
                <w:left w:val="none" w:sz="0" w:space="0" w:color="auto"/>
                <w:bottom w:val="none" w:sz="0" w:space="0" w:color="auto"/>
                <w:right w:val="none" w:sz="0" w:space="0" w:color="auto"/>
              </w:divBdr>
            </w:div>
            <w:div w:id="194518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1016">
      <w:bodyDiv w:val="1"/>
      <w:marLeft w:val="0"/>
      <w:marRight w:val="0"/>
      <w:marTop w:val="0"/>
      <w:marBottom w:val="0"/>
      <w:divBdr>
        <w:top w:val="none" w:sz="0" w:space="0" w:color="auto"/>
        <w:left w:val="none" w:sz="0" w:space="0" w:color="auto"/>
        <w:bottom w:val="none" w:sz="0" w:space="0" w:color="auto"/>
        <w:right w:val="none" w:sz="0" w:space="0" w:color="auto"/>
      </w:divBdr>
      <w:divsChild>
        <w:div w:id="305743846">
          <w:marLeft w:val="0"/>
          <w:marRight w:val="0"/>
          <w:marTop w:val="0"/>
          <w:marBottom w:val="0"/>
          <w:divBdr>
            <w:top w:val="none" w:sz="0" w:space="0" w:color="auto"/>
            <w:left w:val="none" w:sz="0" w:space="0" w:color="auto"/>
            <w:bottom w:val="none" w:sz="0" w:space="0" w:color="auto"/>
            <w:right w:val="none" w:sz="0" w:space="0" w:color="auto"/>
          </w:divBdr>
          <w:divsChild>
            <w:div w:id="123355646">
              <w:marLeft w:val="0"/>
              <w:marRight w:val="0"/>
              <w:marTop w:val="0"/>
              <w:marBottom w:val="0"/>
              <w:divBdr>
                <w:top w:val="none" w:sz="0" w:space="0" w:color="auto"/>
                <w:left w:val="none" w:sz="0" w:space="0" w:color="auto"/>
                <w:bottom w:val="none" w:sz="0" w:space="0" w:color="auto"/>
                <w:right w:val="none" w:sz="0" w:space="0" w:color="auto"/>
              </w:divBdr>
            </w:div>
            <w:div w:id="330137347">
              <w:marLeft w:val="0"/>
              <w:marRight w:val="0"/>
              <w:marTop w:val="0"/>
              <w:marBottom w:val="0"/>
              <w:divBdr>
                <w:top w:val="none" w:sz="0" w:space="0" w:color="auto"/>
                <w:left w:val="none" w:sz="0" w:space="0" w:color="auto"/>
                <w:bottom w:val="none" w:sz="0" w:space="0" w:color="auto"/>
                <w:right w:val="none" w:sz="0" w:space="0" w:color="auto"/>
              </w:divBdr>
            </w:div>
            <w:div w:id="348258515">
              <w:marLeft w:val="0"/>
              <w:marRight w:val="0"/>
              <w:marTop w:val="0"/>
              <w:marBottom w:val="0"/>
              <w:divBdr>
                <w:top w:val="none" w:sz="0" w:space="0" w:color="auto"/>
                <w:left w:val="none" w:sz="0" w:space="0" w:color="auto"/>
                <w:bottom w:val="none" w:sz="0" w:space="0" w:color="auto"/>
                <w:right w:val="none" w:sz="0" w:space="0" w:color="auto"/>
              </w:divBdr>
            </w:div>
            <w:div w:id="398746481">
              <w:marLeft w:val="0"/>
              <w:marRight w:val="0"/>
              <w:marTop w:val="0"/>
              <w:marBottom w:val="0"/>
              <w:divBdr>
                <w:top w:val="none" w:sz="0" w:space="0" w:color="auto"/>
                <w:left w:val="none" w:sz="0" w:space="0" w:color="auto"/>
                <w:bottom w:val="none" w:sz="0" w:space="0" w:color="auto"/>
                <w:right w:val="none" w:sz="0" w:space="0" w:color="auto"/>
              </w:divBdr>
            </w:div>
            <w:div w:id="486095710">
              <w:marLeft w:val="0"/>
              <w:marRight w:val="0"/>
              <w:marTop w:val="0"/>
              <w:marBottom w:val="0"/>
              <w:divBdr>
                <w:top w:val="none" w:sz="0" w:space="0" w:color="auto"/>
                <w:left w:val="none" w:sz="0" w:space="0" w:color="auto"/>
                <w:bottom w:val="none" w:sz="0" w:space="0" w:color="auto"/>
                <w:right w:val="none" w:sz="0" w:space="0" w:color="auto"/>
              </w:divBdr>
            </w:div>
            <w:div w:id="495996773">
              <w:marLeft w:val="0"/>
              <w:marRight w:val="0"/>
              <w:marTop w:val="0"/>
              <w:marBottom w:val="0"/>
              <w:divBdr>
                <w:top w:val="none" w:sz="0" w:space="0" w:color="auto"/>
                <w:left w:val="none" w:sz="0" w:space="0" w:color="auto"/>
                <w:bottom w:val="none" w:sz="0" w:space="0" w:color="auto"/>
                <w:right w:val="none" w:sz="0" w:space="0" w:color="auto"/>
              </w:divBdr>
            </w:div>
            <w:div w:id="544102932">
              <w:marLeft w:val="0"/>
              <w:marRight w:val="0"/>
              <w:marTop w:val="0"/>
              <w:marBottom w:val="0"/>
              <w:divBdr>
                <w:top w:val="none" w:sz="0" w:space="0" w:color="auto"/>
                <w:left w:val="none" w:sz="0" w:space="0" w:color="auto"/>
                <w:bottom w:val="none" w:sz="0" w:space="0" w:color="auto"/>
                <w:right w:val="none" w:sz="0" w:space="0" w:color="auto"/>
              </w:divBdr>
            </w:div>
            <w:div w:id="585385695">
              <w:marLeft w:val="0"/>
              <w:marRight w:val="0"/>
              <w:marTop w:val="0"/>
              <w:marBottom w:val="0"/>
              <w:divBdr>
                <w:top w:val="none" w:sz="0" w:space="0" w:color="auto"/>
                <w:left w:val="none" w:sz="0" w:space="0" w:color="auto"/>
                <w:bottom w:val="none" w:sz="0" w:space="0" w:color="auto"/>
                <w:right w:val="none" w:sz="0" w:space="0" w:color="auto"/>
              </w:divBdr>
            </w:div>
            <w:div w:id="678895061">
              <w:marLeft w:val="0"/>
              <w:marRight w:val="0"/>
              <w:marTop w:val="0"/>
              <w:marBottom w:val="0"/>
              <w:divBdr>
                <w:top w:val="none" w:sz="0" w:space="0" w:color="auto"/>
                <w:left w:val="none" w:sz="0" w:space="0" w:color="auto"/>
                <w:bottom w:val="none" w:sz="0" w:space="0" w:color="auto"/>
                <w:right w:val="none" w:sz="0" w:space="0" w:color="auto"/>
              </w:divBdr>
            </w:div>
            <w:div w:id="892041843">
              <w:marLeft w:val="0"/>
              <w:marRight w:val="0"/>
              <w:marTop w:val="0"/>
              <w:marBottom w:val="0"/>
              <w:divBdr>
                <w:top w:val="none" w:sz="0" w:space="0" w:color="auto"/>
                <w:left w:val="none" w:sz="0" w:space="0" w:color="auto"/>
                <w:bottom w:val="none" w:sz="0" w:space="0" w:color="auto"/>
                <w:right w:val="none" w:sz="0" w:space="0" w:color="auto"/>
              </w:divBdr>
            </w:div>
            <w:div w:id="905068476">
              <w:marLeft w:val="0"/>
              <w:marRight w:val="0"/>
              <w:marTop w:val="0"/>
              <w:marBottom w:val="0"/>
              <w:divBdr>
                <w:top w:val="none" w:sz="0" w:space="0" w:color="auto"/>
                <w:left w:val="none" w:sz="0" w:space="0" w:color="auto"/>
                <w:bottom w:val="none" w:sz="0" w:space="0" w:color="auto"/>
                <w:right w:val="none" w:sz="0" w:space="0" w:color="auto"/>
              </w:divBdr>
            </w:div>
            <w:div w:id="1009870138">
              <w:marLeft w:val="0"/>
              <w:marRight w:val="0"/>
              <w:marTop w:val="0"/>
              <w:marBottom w:val="0"/>
              <w:divBdr>
                <w:top w:val="none" w:sz="0" w:space="0" w:color="auto"/>
                <w:left w:val="none" w:sz="0" w:space="0" w:color="auto"/>
                <w:bottom w:val="none" w:sz="0" w:space="0" w:color="auto"/>
                <w:right w:val="none" w:sz="0" w:space="0" w:color="auto"/>
              </w:divBdr>
            </w:div>
            <w:div w:id="1124230196">
              <w:marLeft w:val="0"/>
              <w:marRight w:val="0"/>
              <w:marTop w:val="0"/>
              <w:marBottom w:val="0"/>
              <w:divBdr>
                <w:top w:val="none" w:sz="0" w:space="0" w:color="auto"/>
                <w:left w:val="none" w:sz="0" w:space="0" w:color="auto"/>
                <w:bottom w:val="none" w:sz="0" w:space="0" w:color="auto"/>
                <w:right w:val="none" w:sz="0" w:space="0" w:color="auto"/>
              </w:divBdr>
            </w:div>
            <w:div w:id="1175682830">
              <w:marLeft w:val="0"/>
              <w:marRight w:val="0"/>
              <w:marTop w:val="0"/>
              <w:marBottom w:val="0"/>
              <w:divBdr>
                <w:top w:val="none" w:sz="0" w:space="0" w:color="auto"/>
                <w:left w:val="none" w:sz="0" w:space="0" w:color="auto"/>
                <w:bottom w:val="none" w:sz="0" w:space="0" w:color="auto"/>
                <w:right w:val="none" w:sz="0" w:space="0" w:color="auto"/>
              </w:divBdr>
            </w:div>
            <w:div w:id="1220818967">
              <w:marLeft w:val="0"/>
              <w:marRight w:val="0"/>
              <w:marTop w:val="0"/>
              <w:marBottom w:val="0"/>
              <w:divBdr>
                <w:top w:val="none" w:sz="0" w:space="0" w:color="auto"/>
                <w:left w:val="none" w:sz="0" w:space="0" w:color="auto"/>
                <w:bottom w:val="none" w:sz="0" w:space="0" w:color="auto"/>
                <w:right w:val="none" w:sz="0" w:space="0" w:color="auto"/>
              </w:divBdr>
            </w:div>
            <w:div w:id="1235627021">
              <w:marLeft w:val="0"/>
              <w:marRight w:val="0"/>
              <w:marTop w:val="0"/>
              <w:marBottom w:val="0"/>
              <w:divBdr>
                <w:top w:val="none" w:sz="0" w:space="0" w:color="auto"/>
                <w:left w:val="none" w:sz="0" w:space="0" w:color="auto"/>
                <w:bottom w:val="none" w:sz="0" w:space="0" w:color="auto"/>
                <w:right w:val="none" w:sz="0" w:space="0" w:color="auto"/>
              </w:divBdr>
            </w:div>
            <w:div w:id="1702975214">
              <w:marLeft w:val="0"/>
              <w:marRight w:val="0"/>
              <w:marTop w:val="0"/>
              <w:marBottom w:val="0"/>
              <w:divBdr>
                <w:top w:val="none" w:sz="0" w:space="0" w:color="auto"/>
                <w:left w:val="none" w:sz="0" w:space="0" w:color="auto"/>
                <w:bottom w:val="none" w:sz="0" w:space="0" w:color="auto"/>
                <w:right w:val="none" w:sz="0" w:space="0" w:color="auto"/>
              </w:divBdr>
            </w:div>
            <w:div w:id="1773284957">
              <w:marLeft w:val="0"/>
              <w:marRight w:val="0"/>
              <w:marTop w:val="0"/>
              <w:marBottom w:val="0"/>
              <w:divBdr>
                <w:top w:val="none" w:sz="0" w:space="0" w:color="auto"/>
                <w:left w:val="none" w:sz="0" w:space="0" w:color="auto"/>
                <w:bottom w:val="none" w:sz="0" w:space="0" w:color="auto"/>
                <w:right w:val="none" w:sz="0" w:space="0" w:color="auto"/>
              </w:divBdr>
            </w:div>
            <w:div w:id="1820805840">
              <w:marLeft w:val="0"/>
              <w:marRight w:val="0"/>
              <w:marTop w:val="0"/>
              <w:marBottom w:val="0"/>
              <w:divBdr>
                <w:top w:val="none" w:sz="0" w:space="0" w:color="auto"/>
                <w:left w:val="none" w:sz="0" w:space="0" w:color="auto"/>
                <w:bottom w:val="none" w:sz="0" w:space="0" w:color="auto"/>
                <w:right w:val="none" w:sz="0" w:space="0" w:color="auto"/>
              </w:divBdr>
            </w:div>
            <w:div w:id="1908494977">
              <w:marLeft w:val="0"/>
              <w:marRight w:val="0"/>
              <w:marTop w:val="0"/>
              <w:marBottom w:val="0"/>
              <w:divBdr>
                <w:top w:val="none" w:sz="0" w:space="0" w:color="auto"/>
                <w:left w:val="none" w:sz="0" w:space="0" w:color="auto"/>
                <w:bottom w:val="none" w:sz="0" w:space="0" w:color="auto"/>
                <w:right w:val="none" w:sz="0" w:space="0" w:color="auto"/>
              </w:divBdr>
            </w:div>
            <w:div w:id="1920019054">
              <w:marLeft w:val="0"/>
              <w:marRight w:val="0"/>
              <w:marTop w:val="0"/>
              <w:marBottom w:val="0"/>
              <w:divBdr>
                <w:top w:val="none" w:sz="0" w:space="0" w:color="auto"/>
                <w:left w:val="none" w:sz="0" w:space="0" w:color="auto"/>
                <w:bottom w:val="none" w:sz="0" w:space="0" w:color="auto"/>
                <w:right w:val="none" w:sz="0" w:space="0" w:color="auto"/>
              </w:divBdr>
            </w:div>
            <w:div w:id="1942372990">
              <w:marLeft w:val="0"/>
              <w:marRight w:val="0"/>
              <w:marTop w:val="0"/>
              <w:marBottom w:val="0"/>
              <w:divBdr>
                <w:top w:val="none" w:sz="0" w:space="0" w:color="auto"/>
                <w:left w:val="none" w:sz="0" w:space="0" w:color="auto"/>
                <w:bottom w:val="none" w:sz="0" w:space="0" w:color="auto"/>
                <w:right w:val="none" w:sz="0" w:space="0" w:color="auto"/>
              </w:divBdr>
            </w:div>
            <w:div w:id="2057315491">
              <w:marLeft w:val="0"/>
              <w:marRight w:val="0"/>
              <w:marTop w:val="0"/>
              <w:marBottom w:val="0"/>
              <w:divBdr>
                <w:top w:val="none" w:sz="0" w:space="0" w:color="auto"/>
                <w:left w:val="none" w:sz="0" w:space="0" w:color="auto"/>
                <w:bottom w:val="none" w:sz="0" w:space="0" w:color="auto"/>
                <w:right w:val="none" w:sz="0" w:space="0" w:color="auto"/>
              </w:divBdr>
            </w:div>
            <w:div w:id="2061662897">
              <w:marLeft w:val="0"/>
              <w:marRight w:val="0"/>
              <w:marTop w:val="0"/>
              <w:marBottom w:val="0"/>
              <w:divBdr>
                <w:top w:val="none" w:sz="0" w:space="0" w:color="auto"/>
                <w:left w:val="none" w:sz="0" w:space="0" w:color="auto"/>
                <w:bottom w:val="none" w:sz="0" w:space="0" w:color="auto"/>
                <w:right w:val="none" w:sz="0" w:space="0" w:color="auto"/>
              </w:divBdr>
            </w:div>
            <w:div w:id="213405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3270</Words>
  <Characters>18971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2025-04-10T12:59:00Z</dcterms:created>
  <dcterms:modified xsi:type="dcterms:W3CDTF">2025-04-10T13:06:00Z</dcterms:modified>
</cp:coreProperties>
</file>